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F93" w:rsidRDefault="00271F93" w:rsidP="008276AF">
      <w:pPr>
        <w:ind w:right="1983"/>
        <w:jc w:val="both"/>
        <w:rPr>
          <w:rFonts w:ascii="Tahoma" w:hAnsi="Tahoma" w:cs="Tahoma"/>
          <w:b/>
          <w:i/>
          <w:sz w:val="23"/>
          <w:szCs w:val="23"/>
        </w:rPr>
      </w:pPr>
    </w:p>
    <w:p w:rsidR="00271F93" w:rsidRDefault="00271F93" w:rsidP="006E77B3">
      <w:pPr>
        <w:ind w:left="1843" w:right="1983"/>
        <w:jc w:val="both"/>
        <w:rPr>
          <w:rFonts w:ascii="Tahoma" w:hAnsi="Tahoma" w:cs="Tahoma"/>
          <w:b/>
          <w:i/>
          <w:sz w:val="23"/>
          <w:szCs w:val="23"/>
        </w:rPr>
      </w:pPr>
    </w:p>
    <w:p w:rsidR="006E77B3" w:rsidRPr="006E77B3" w:rsidRDefault="006E77B3" w:rsidP="006E77B3">
      <w:pPr>
        <w:ind w:left="1843" w:right="1983"/>
        <w:jc w:val="both"/>
        <w:rPr>
          <w:rFonts w:ascii="Tahoma" w:hAnsi="Tahoma" w:cs="Tahoma"/>
          <w:i/>
          <w:sz w:val="23"/>
          <w:szCs w:val="23"/>
        </w:rPr>
      </w:pPr>
      <w:r w:rsidRPr="006E77B3">
        <w:rPr>
          <w:rFonts w:ascii="Tahoma" w:hAnsi="Tahoma" w:cs="Tahoma"/>
          <w:b/>
          <w:i/>
          <w:sz w:val="23"/>
          <w:szCs w:val="23"/>
        </w:rPr>
        <w:t>Sumilla   :</w:t>
      </w:r>
      <w:r w:rsidRPr="006E77B3">
        <w:rPr>
          <w:rFonts w:ascii="Tahoma" w:hAnsi="Tahoma" w:cs="Tahoma"/>
          <w:i/>
          <w:sz w:val="23"/>
          <w:szCs w:val="23"/>
        </w:rPr>
        <w:t xml:space="preserve"> </w:t>
      </w:r>
      <w:r w:rsidRPr="006E77B3">
        <w:rPr>
          <w:rFonts w:ascii="Tahoma" w:hAnsi="Tahoma" w:cs="Tahoma"/>
          <w:i/>
          <w:sz w:val="23"/>
          <w:szCs w:val="23"/>
        </w:rPr>
        <w:tab/>
        <w:t>“</w:t>
      </w:r>
      <w:r w:rsidRPr="006E77B3">
        <w:rPr>
          <w:rFonts w:ascii="Tahoma" w:hAnsi="Tahoma" w:cs="Tahoma"/>
          <w:i/>
          <w:color w:val="000000" w:themeColor="text1"/>
          <w:sz w:val="23"/>
          <w:szCs w:val="23"/>
        </w:rPr>
        <w:t>En consecuencia, en base a los criterios antes indicados, corresponde declarar no ha lugar a la imposición de sanción al Denunciado”</w:t>
      </w:r>
    </w:p>
    <w:p w:rsidR="006E77B3" w:rsidRPr="006E77B3" w:rsidRDefault="006E77B3" w:rsidP="006E77B3">
      <w:pPr>
        <w:ind w:left="1843" w:right="1983"/>
        <w:jc w:val="both"/>
        <w:rPr>
          <w:rFonts w:ascii="Tahoma" w:hAnsi="Tahoma" w:cs="Tahoma"/>
          <w:i/>
          <w:sz w:val="23"/>
          <w:szCs w:val="23"/>
        </w:rPr>
      </w:pPr>
    </w:p>
    <w:p w:rsidR="006E77B3" w:rsidRPr="006E77B3" w:rsidRDefault="006E77B3" w:rsidP="006E77B3">
      <w:pPr>
        <w:pStyle w:val="Textoindependiente3"/>
        <w:spacing w:after="0"/>
        <w:rPr>
          <w:rFonts w:ascii="Tahoma" w:hAnsi="Tahoma" w:cs="Tahoma"/>
          <w:i/>
          <w:sz w:val="23"/>
          <w:szCs w:val="23"/>
          <w:lang w:val="es-ES"/>
        </w:rPr>
      </w:pPr>
    </w:p>
    <w:p w:rsidR="006E77B3" w:rsidRPr="006E77B3" w:rsidRDefault="006E77B3" w:rsidP="006E77B3">
      <w:pPr>
        <w:pStyle w:val="Textoindependiente3"/>
        <w:spacing w:after="0"/>
        <w:ind w:left="5387"/>
        <w:jc w:val="both"/>
        <w:rPr>
          <w:rFonts w:ascii="Tahoma" w:hAnsi="Tahoma" w:cs="Tahoma"/>
          <w:b/>
          <w:sz w:val="23"/>
          <w:szCs w:val="23"/>
        </w:rPr>
      </w:pPr>
      <w:r w:rsidRPr="006E77B3">
        <w:rPr>
          <w:rFonts w:ascii="Tahoma" w:hAnsi="Tahoma" w:cs="Tahoma"/>
          <w:b/>
          <w:sz w:val="23"/>
          <w:szCs w:val="23"/>
        </w:rPr>
        <w:t>Lima,</w:t>
      </w:r>
      <w:r w:rsidR="00271F93">
        <w:rPr>
          <w:rFonts w:ascii="Tahoma" w:hAnsi="Tahoma" w:cs="Tahoma"/>
          <w:b/>
          <w:sz w:val="23"/>
          <w:szCs w:val="23"/>
        </w:rPr>
        <w:t xml:space="preserve"> 31 de Enero de 2011</w:t>
      </w:r>
    </w:p>
    <w:p w:rsidR="006E77B3" w:rsidRPr="006E77B3" w:rsidRDefault="006E77B3" w:rsidP="006E77B3">
      <w:pPr>
        <w:pStyle w:val="Textoindependiente3"/>
        <w:spacing w:after="0"/>
        <w:ind w:left="5387"/>
        <w:jc w:val="both"/>
        <w:rPr>
          <w:rFonts w:ascii="Tahoma" w:hAnsi="Tahoma" w:cs="Tahoma"/>
          <w:b/>
          <w:sz w:val="23"/>
          <w:szCs w:val="23"/>
        </w:rPr>
      </w:pPr>
    </w:p>
    <w:p w:rsidR="006E77B3" w:rsidRPr="006E77B3" w:rsidRDefault="006E77B3" w:rsidP="006E77B3">
      <w:pPr>
        <w:pStyle w:val="Textonotapie"/>
        <w:widowControl w:val="0"/>
        <w:suppressAutoHyphens/>
        <w:ind w:firstLine="567"/>
        <w:jc w:val="both"/>
        <w:rPr>
          <w:rFonts w:ascii="Tahoma" w:hAnsi="Tahoma" w:cs="Tahoma"/>
          <w:sz w:val="23"/>
          <w:szCs w:val="23"/>
        </w:rPr>
      </w:pPr>
      <w:r w:rsidRPr="006E77B3">
        <w:rPr>
          <w:rFonts w:ascii="Tahoma" w:hAnsi="Tahoma" w:cs="Tahoma"/>
          <w:b/>
          <w:sz w:val="23"/>
          <w:szCs w:val="23"/>
        </w:rPr>
        <w:t xml:space="preserve">Visto </w:t>
      </w:r>
      <w:r>
        <w:rPr>
          <w:rFonts w:ascii="Tahoma" w:hAnsi="Tahoma" w:cs="Tahoma"/>
          <w:sz w:val="23"/>
          <w:szCs w:val="23"/>
        </w:rPr>
        <w:t>en sesión de fecha 31</w:t>
      </w:r>
      <w:r w:rsidRPr="006E77B3">
        <w:rPr>
          <w:rFonts w:ascii="Tahoma" w:hAnsi="Tahoma" w:cs="Tahoma"/>
          <w:sz w:val="23"/>
          <w:szCs w:val="23"/>
        </w:rPr>
        <w:t xml:space="preserve"> de enero de 2011 la Primera Sala del Tribunal de Contrataciones del </w:t>
      </w:r>
      <w:r>
        <w:rPr>
          <w:rFonts w:ascii="Tahoma" w:hAnsi="Tahoma" w:cs="Tahoma"/>
          <w:sz w:val="23"/>
          <w:szCs w:val="23"/>
        </w:rPr>
        <w:t>Estado, el Expediente N° 4938</w:t>
      </w:r>
      <w:r w:rsidRPr="006E77B3">
        <w:rPr>
          <w:rFonts w:ascii="Tahoma" w:hAnsi="Tahoma" w:cs="Tahoma"/>
          <w:sz w:val="23"/>
          <w:szCs w:val="23"/>
        </w:rPr>
        <w:t xml:space="preserve">-2008.TC; sobre el procedimiento administrativo sancionador iniciado contra </w:t>
      </w:r>
      <w:r>
        <w:rPr>
          <w:rFonts w:ascii="Tahoma" w:hAnsi="Tahoma" w:cs="Tahoma"/>
          <w:sz w:val="23"/>
          <w:szCs w:val="23"/>
        </w:rPr>
        <w:t xml:space="preserve">el </w:t>
      </w:r>
      <w:r w:rsidRPr="006E77B3">
        <w:rPr>
          <w:rFonts w:ascii="Tahoma" w:hAnsi="Tahoma" w:cs="Tahoma"/>
          <w:sz w:val="23"/>
          <w:szCs w:val="23"/>
        </w:rPr>
        <w:t xml:space="preserve">CONSORCIO CHAVIN INTEGRADO POR LAS EMPRESAS PROMACSA S.A.C. y MEJESA S.R.L., </w:t>
      </w:r>
      <w:r w:rsidRPr="006E77B3">
        <w:rPr>
          <w:rFonts w:ascii="Tahoma" w:eastAsia="MS Mincho" w:hAnsi="Tahoma" w:cs="Tahoma"/>
          <w:sz w:val="23"/>
          <w:szCs w:val="23"/>
        </w:rPr>
        <w:t>por haber dado lugar a la</w:t>
      </w:r>
      <w:r>
        <w:rPr>
          <w:rFonts w:ascii="Tahoma" w:hAnsi="Tahoma" w:cs="Tahoma"/>
          <w:sz w:val="23"/>
          <w:szCs w:val="23"/>
        </w:rPr>
        <w:t xml:space="preserve"> resolución de</w:t>
      </w:r>
      <w:r w:rsidRPr="006E77B3">
        <w:rPr>
          <w:rFonts w:ascii="Tahoma" w:hAnsi="Tahoma" w:cs="Tahoma"/>
          <w:sz w:val="23"/>
          <w:szCs w:val="23"/>
        </w:rPr>
        <w:t>l Contrato Nº 2007-MDL PROCEDIMIENTO ESPECIAL DE SELECCIÓN Nº 002-2007-MDL, derivado de</w:t>
      </w:r>
      <w:r>
        <w:rPr>
          <w:rFonts w:ascii="Tahoma" w:hAnsi="Tahoma" w:cs="Tahoma"/>
          <w:sz w:val="23"/>
          <w:szCs w:val="23"/>
        </w:rPr>
        <w:t>l</w:t>
      </w:r>
      <w:r w:rsidRPr="006E77B3">
        <w:rPr>
          <w:rFonts w:ascii="Tahoma" w:hAnsi="Tahoma" w:cs="Tahoma"/>
          <w:sz w:val="23"/>
          <w:szCs w:val="23"/>
        </w:rPr>
        <w:t xml:space="preserve"> Procedimiento Especial de Selección Nº 002-2007-MDL (Segunda Convocatoria).</w:t>
      </w:r>
    </w:p>
    <w:p w:rsidR="006E77B3" w:rsidRPr="006E77B3" w:rsidRDefault="006E77B3" w:rsidP="006E77B3">
      <w:pPr>
        <w:pStyle w:val="Textonotapie"/>
        <w:widowControl w:val="0"/>
        <w:suppressAutoHyphens/>
        <w:ind w:firstLine="567"/>
        <w:jc w:val="both"/>
        <w:rPr>
          <w:rFonts w:ascii="Tahoma" w:hAnsi="Tahoma" w:cs="Tahoma"/>
          <w:b/>
          <w:sz w:val="23"/>
          <w:szCs w:val="23"/>
        </w:rPr>
      </w:pPr>
    </w:p>
    <w:p w:rsidR="006E77B3" w:rsidRPr="006E77B3" w:rsidRDefault="006E77B3" w:rsidP="006E77B3">
      <w:pPr>
        <w:pStyle w:val="Prrafodelista"/>
        <w:numPr>
          <w:ilvl w:val="0"/>
          <w:numId w:val="1"/>
        </w:numPr>
        <w:ind w:left="567" w:hanging="425"/>
        <w:rPr>
          <w:rFonts w:ascii="Tahoma" w:hAnsi="Tahoma" w:cs="Tahoma"/>
          <w:b/>
          <w:sz w:val="23"/>
          <w:szCs w:val="23"/>
        </w:rPr>
      </w:pPr>
      <w:r w:rsidRPr="006E77B3">
        <w:rPr>
          <w:rFonts w:ascii="Tahoma" w:hAnsi="Tahoma" w:cs="Tahoma"/>
          <w:b/>
          <w:sz w:val="23"/>
          <w:szCs w:val="23"/>
        </w:rPr>
        <w:t>ANTECEDENTES:</w:t>
      </w:r>
    </w:p>
    <w:p w:rsidR="006E77B3" w:rsidRPr="006E77B3" w:rsidRDefault="006E77B3" w:rsidP="006E77B3">
      <w:pPr>
        <w:jc w:val="both"/>
        <w:rPr>
          <w:rFonts w:ascii="Tahoma" w:hAnsi="Tahoma" w:cs="Tahoma"/>
          <w:b/>
          <w:sz w:val="23"/>
          <w:szCs w:val="23"/>
          <w:lang w:eastAsia="es-PE"/>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El 26 de octubre de 2007, la Municipalidad Distrital de Lacabamba, en lo sucesivo la Entidad, convocó al Procedimiento Especial de Selección Nº 002-2007-MDL (Segunda Convocatoria), para la Elaboración del Expediente Técnico y la Ejecución de la Obra “Mejoramiento y ampliación de los sistemas de agua potable y alcantarillado del Distrito de Lacabamba”, bajo la modalidad de Concurso Oferta, por un valor referencial ascendente a S/. 866,249.00 (Ochocientos sesenta y seis mil con y 00/100 Nuevos Soles).</w:t>
      </w:r>
    </w:p>
    <w:p w:rsidR="006E77B3" w:rsidRPr="006E77B3" w:rsidRDefault="006E77B3" w:rsidP="006E77B3">
      <w:pPr>
        <w:pStyle w:val="Prrafodelista"/>
        <w:widowControl/>
        <w:suppressAutoHyphens w:val="0"/>
        <w:ind w:left="567"/>
        <w:contextualSpacing/>
        <w:jc w:val="both"/>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Con fecha 20 de noviembre del 2007, el Comité Especial otorgó la buena pro del acotado proceso de selección al CONSORCIO CHAVIN INTEGRADO POR LAS EMPRESAS PROMACSA S.A.C. y MEJESA S.R.L., en adelante el Consorcio.</w:t>
      </w:r>
    </w:p>
    <w:p w:rsidR="006E77B3" w:rsidRPr="006E77B3" w:rsidRDefault="006E77B3" w:rsidP="006E77B3">
      <w:pPr>
        <w:pStyle w:val="Prrafodelista"/>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El 04 de diciembre de 2007, la Entidad y el Consorcio suscribieron el Contrato Nº 2007-MDL PROCEDIMIENTO ESPECIAL DE SELECCIÓN Nº 002-2007-MDL.</w:t>
      </w:r>
    </w:p>
    <w:p w:rsidR="006E77B3" w:rsidRPr="006E77B3" w:rsidRDefault="006E77B3" w:rsidP="006E77B3">
      <w:pPr>
        <w:pStyle w:val="Prrafodelista"/>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A través de la CARTA NOTARIAL Nº 001-2008-MDL/ALCALDIA, notificada notarialmente el 09 de octubre de 2008, la Entidad solicitó al Consorcio que en el plazo de 05 días calendarios, cumpla con reiniciar la obra, bajo apercibimiento de resolver el contrato.</w:t>
      </w:r>
    </w:p>
    <w:p w:rsidR="006E77B3" w:rsidRPr="006E77B3" w:rsidRDefault="006E77B3" w:rsidP="006E77B3">
      <w:pPr>
        <w:pStyle w:val="Prrafodelista"/>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 xml:space="preserve">Con CARTA NOTARIAL Nº 003-2008/MDL/ALCALDIA, notificada notarialmente el 14 de noviembre de 2008, la Entidad resolvió el Contrato Nº 2007-MDL </w:t>
      </w:r>
      <w:r w:rsidRPr="006E77B3">
        <w:rPr>
          <w:rFonts w:ascii="Tahoma" w:hAnsi="Tahoma" w:cs="Tahoma"/>
          <w:sz w:val="23"/>
          <w:szCs w:val="23"/>
        </w:rPr>
        <w:lastRenderedPageBreak/>
        <w:t>PROCEDIMIENTO ESPECIAL DE SELECCIÓN Nº 002-2007-MDL, por incumplimiento de sus obligaciones contractuales del Consorcio.</w:t>
      </w:r>
    </w:p>
    <w:p w:rsidR="006E77B3" w:rsidRPr="006E77B3" w:rsidRDefault="006E77B3" w:rsidP="006E77B3">
      <w:pPr>
        <w:contextualSpacing/>
        <w:jc w:val="both"/>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Mediante escrito presentado el 11 de diciembre de 2008, la Entidad puso en conocimiento del Tribunal de Contrataciones y Adquisiciones del Estado, hoy Tribunal de Contrataciones del Estado, en adelante el Tribunal, la supuesta infracción cometida por el Consorcio, consistente en haber dado lugar a la resolución del Contrato Nº 2007-MDL PROCEDIMIENTO ESPECIAL DE SELECCIÓN Nº 002-2007-MDL.</w:t>
      </w:r>
    </w:p>
    <w:p w:rsidR="006E77B3" w:rsidRPr="006E77B3" w:rsidRDefault="006E77B3" w:rsidP="006E77B3">
      <w:pPr>
        <w:pStyle w:val="Prrafodelista"/>
        <w:widowControl/>
        <w:suppressAutoHyphens w:val="0"/>
        <w:ind w:left="567"/>
        <w:contextualSpacing/>
        <w:jc w:val="both"/>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A través del decreto de fecha 16 de diciembre de 2008, previamente al inicio de procedimiento administrativo sancionador, el Tribunal requirió a la Entidad que remita, entre otros documentos, un Informe Técnico Legal sobre la procedencia y presunta responsabilidad del Consorcio, por haber dado lugar a la resolución del contrato.</w:t>
      </w:r>
    </w:p>
    <w:p w:rsidR="006E77B3" w:rsidRPr="006E77B3" w:rsidRDefault="006E77B3" w:rsidP="006E77B3">
      <w:pPr>
        <w:pStyle w:val="Prrafodelista"/>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Con escritos presentados el 29 de enero de 2008, respectivamente, la Entidad remitió la documentación e información requerida.</w:t>
      </w:r>
    </w:p>
    <w:p w:rsidR="006E77B3" w:rsidRPr="006E77B3" w:rsidRDefault="006E77B3" w:rsidP="006E77B3">
      <w:pPr>
        <w:pStyle w:val="Prrafodelista"/>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Mediante decreto de fecha 03 de febrero de 2008, se inicio procedimiento administrativo sancionador contra el Consorcio, por supuesta responsabilidad al haber dado lugar a la resolución del contrato derivado del Procedimiento Especial de Selección Nº 002-2007-MDL (Segunda Convocatoria). Asimismo, se le otorgó un plazo de diez (10) días hábiles, a fin que las empresas integrantes del Consorcio cumplan con presentar sus descargos.</w:t>
      </w:r>
    </w:p>
    <w:p w:rsidR="006E77B3" w:rsidRPr="006E77B3" w:rsidRDefault="006E77B3" w:rsidP="006E77B3">
      <w:pPr>
        <w:pStyle w:val="Prrafodelista"/>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A través del escrito de fecha 05 de mayo de 2009, la empresa PROMACSA S.A.C., integrante del Consorcio, presentó sus descargos, bajo los siguiente argumentos:</w:t>
      </w:r>
    </w:p>
    <w:p w:rsidR="006E77B3" w:rsidRPr="006E77B3" w:rsidRDefault="006E77B3" w:rsidP="006E77B3">
      <w:pPr>
        <w:rPr>
          <w:rFonts w:ascii="Tahoma" w:hAnsi="Tahoma" w:cs="Tahoma"/>
          <w:sz w:val="23"/>
          <w:szCs w:val="23"/>
          <w:lang w:val="es-ES_tradnl"/>
        </w:rPr>
      </w:pPr>
    </w:p>
    <w:p w:rsidR="006E77B3" w:rsidRPr="006E77B3" w:rsidRDefault="006E77B3" w:rsidP="006E77B3">
      <w:pPr>
        <w:pStyle w:val="Prrafodelista"/>
        <w:numPr>
          <w:ilvl w:val="0"/>
          <w:numId w:val="3"/>
        </w:numPr>
        <w:ind w:left="1134" w:hanging="567"/>
        <w:jc w:val="both"/>
        <w:rPr>
          <w:rFonts w:ascii="Tahoma" w:hAnsi="Tahoma" w:cs="Tahoma"/>
          <w:sz w:val="23"/>
          <w:szCs w:val="23"/>
        </w:rPr>
      </w:pPr>
      <w:r w:rsidRPr="006E77B3">
        <w:rPr>
          <w:rFonts w:ascii="Tahoma" w:hAnsi="Tahoma" w:cs="Tahoma"/>
          <w:sz w:val="23"/>
          <w:szCs w:val="23"/>
        </w:rPr>
        <w:t>En el presente caso se debe considerar nulo el requerimiento realizado por la Entidad, toda vez que a pesar que el artículo 226 del Reglamento de la Ley de Contrataciones del Estado, establece que el plazo de requerimiento del cumplimiento de las obligaciones contractuales, en el caso de obras, debe ser necesariamente 15 días, no obstante ello, la Entidad a través de la Carta Notarial Nº 001-2008-MDL/ALCALDIA, sólo otorgó un plazo de 05 días.</w:t>
      </w:r>
    </w:p>
    <w:p w:rsidR="006E77B3" w:rsidRPr="006E77B3" w:rsidRDefault="006E77B3" w:rsidP="006E77B3">
      <w:pPr>
        <w:pStyle w:val="Prrafodelista"/>
        <w:ind w:left="1134"/>
        <w:jc w:val="both"/>
        <w:rPr>
          <w:rFonts w:ascii="Tahoma" w:hAnsi="Tahoma" w:cs="Tahoma"/>
          <w:sz w:val="23"/>
          <w:szCs w:val="23"/>
        </w:rPr>
      </w:pPr>
    </w:p>
    <w:p w:rsidR="006E77B3" w:rsidRPr="006E77B3" w:rsidRDefault="006E77B3" w:rsidP="006E77B3">
      <w:pPr>
        <w:pStyle w:val="Prrafodelista"/>
        <w:numPr>
          <w:ilvl w:val="0"/>
          <w:numId w:val="3"/>
        </w:numPr>
        <w:ind w:left="1134" w:hanging="567"/>
        <w:jc w:val="both"/>
        <w:rPr>
          <w:rFonts w:ascii="Tahoma" w:hAnsi="Tahoma" w:cs="Tahoma"/>
          <w:sz w:val="23"/>
          <w:szCs w:val="23"/>
        </w:rPr>
      </w:pPr>
      <w:r w:rsidRPr="006E77B3">
        <w:rPr>
          <w:rFonts w:ascii="Tahoma" w:hAnsi="Tahoma" w:cs="Tahoma"/>
          <w:sz w:val="23"/>
          <w:szCs w:val="23"/>
        </w:rPr>
        <w:t>Por lo tanto, al no haberse dado cumplimiento a lo establecido en el acotado artículo 226, toda vez que se ha realizado un requerimiento inadecuado, el documento que resuelve el contrato carece de valor, por lo tanto, se deberá declarar no ha lugar la imposición de sanción.</w:t>
      </w:r>
    </w:p>
    <w:p w:rsidR="006E77B3" w:rsidRPr="006E77B3" w:rsidRDefault="006E77B3" w:rsidP="006E77B3">
      <w:pPr>
        <w:pStyle w:val="Prrafodelista"/>
        <w:rPr>
          <w:rFonts w:ascii="Tahoma" w:hAnsi="Tahoma" w:cs="Tahoma"/>
          <w:sz w:val="23"/>
          <w:szCs w:val="23"/>
        </w:rPr>
      </w:pPr>
    </w:p>
    <w:p w:rsidR="006E77B3" w:rsidRPr="006E77B3" w:rsidRDefault="006E77B3" w:rsidP="006E77B3">
      <w:pPr>
        <w:pStyle w:val="Prrafodelista"/>
        <w:numPr>
          <w:ilvl w:val="0"/>
          <w:numId w:val="3"/>
        </w:numPr>
        <w:ind w:left="1134" w:hanging="567"/>
        <w:jc w:val="both"/>
        <w:rPr>
          <w:rFonts w:ascii="Tahoma" w:hAnsi="Tahoma" w:cs="Tahoma"/>
          <w:sz w:val="23"/>
          <w:szCs w:val="23"/>
        </w:rPr>
      </w:pPr>
      <w:r w:rsidRPr="006E77B3">
        <w:rPr>
          <w:rFonts w:ascii="Tahoma" w:hAnsi="Tahoma" w:cs="Tahoma"/>
          <w:sz w:val="23"/>
          <w:szCs w:val="23"/>
        </w:rPr>
        <w:lastRenderedPageBreak/>
        <w:t>Asimismo, respecto al documento que resolvió el contrato, señaló que no se puede determinar la causa por la cual se ha procedido a resolver el contrato, por lo cual el acto administrativo no es válido, al no estar debidamente motivado.</w:t>
      </w:r>
    </w:p>
    <w:p w:rsidR="006E77B3" w:rsidRPr="006E77B3" w:rsidRDefault="006E77B3" w:rsidP="006E77B3">
      <w:pPr>
        <w:pStyle w:val="Prrafodelista"/>
        <w:rPr>
          <w:rFonts w:ascii="Tahoma" w:hAnsi="Tahoma" w:cs="Tahoma"/>
          <w:sz w:val="23"/>
          <w:szCs w:val="23"/>
        </w:rPr>
      </w:pPr>
    </w:p>
    <w:p w:rsidR="006E77B3" w:rsidRPr="006E77B3" w:rsidRDefault="006E77B3" w:rsidP="006E77B3">
      <w:pPr>
        <w:pStyle w:val="Prrafodelista"/>
        <w:numPr>
          <w:ilvl w:val="0"/>
          <w:numId w:val="3"/>
        </w:numPr>
        <w:ind w:left="1134" w:hanging="567"/>
        <w:jc w:val="both"/>
        <w:rPr>
          <w:rFonts w:ascii="Tahoma" w:hAnsi="Tahoma" w:cs="Tahoma"/>
          <w:sz w:val="23"/>
          <w:szCs w:val="23"/>
        </w:rPr>
      </w:pPr>
      <w:r w:rsidRPr="006E77B3">
        <w:rPr>
          <w:rFonts w:ascii="Tahoma" w:hAnsi="Tahoma" w:cs="Tahoma"/>
          <w:sz w:val="23"/>
          <w:szCs w:val="23"/>
        </w:rPr>
        <w:t>Por otro lado, señaló que el 07 de noviembre de 2008, el Sr. Enrique Pereda Miranda suscribió como Alcalde de la Entidad, la carta notarial que resolvió el contrato, no obstante ello, en dicha fecha, ya no era alcalde sino que el cargo le correspondía al Sr. Rocito Rosanee Perez Morales, tal como se puede verificar en la credencial del Jurado Nacional de Elecciones de fecha 02 de octubre de 2008, en la cual se nombra a este último como Alcalde del Consejo Distrital de Lacabamba Provincia de Pallasca.</w:t>
      </w:r>
    </w:p>
    <w:p w:rsidR="006E77B3" w:rsidRPr="006E77B3" w:rsidRDefault="006E77B3" w:rsidP="006E77B3">
      <w:pPr>
        <w:pStyle w:val="Prrafodelista"/>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Mediante decreto de fecha 13 de mayo de 2009, se tuvo por apersonado a la empresa PROMACSA S.A.C., integrante del Consorcio, por presentado sus descargos y por señalado su domicilio procesal. Asimismo, se hizo efectivo el apercibimiento decretado de resolver con la documentación obrante en autos, al no haber cumplido la empresa MEJESA S.R.L., integrante del Consorcio, con presentar sus descargos, remitiéndose el presente expediente a la Cuarta Sala del Tribunal para que resuelva.</w:t>
      </w:r>
    </w:p>
    <w:p w:rsidR="006E77B3" w:rsidRPr="006E77B3" w:rsidRDefault="006E77B3" w:rsidP="006E77B3">
      <w:pPr>
        <w:pStyle w:val="Prrafodelista"/>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A través de los escritos presentados el 23 de julio y 05 de agosto de 2009, respectivamente, la empresa MEJESA S.R.L., integrante del Consorcio, se apersonó al presente procedimiento administrativo, señalando lo siguiente:</w:t>
      </w:r>
    </w:p>
    <w:p w:rsidR="006E77B3" w:rsidRPr="006E77B3" w:rsidRDefault="006E77B3" w:rsidP="006E77B3">
      <w:pPr>
        <w:pStyle w:val="Prrafodelista"/>
        <w:widowControl/>
        <w:suppressAutoHyphens w:val="0"/>
        <w:ind w:left="567"/>
        <w:contextualSpacing/>
        <w:jc w:val="both"/>
        <w:rPr>
          <w:rFonts w:ascii="Tahoma" w:hAnsi="Tahoma" w:cs="Tahoma"/>
          <w:sz w:val="23"/>
          <w:szCs w:val="23"/>
        </w:rPr>
      </w:pPr>
    </w:p>
    <w:p w:rsidR="006E77B3" w:rsidRPr="006E77B3" w:rsidRDefault="006E77B3" w:rsidP="006E77B3">
      <w:pPr>
        <w:pStyle w:val="Prrafodelista"/>
        <w:widowControl/>
        <w:numPr>
          <w:ilvl w:val="0"/>
          <w:numId w:val="6"/>
        </w:numPr>
        <w:suppressAutoHyphens w:val="0"/>
        <w:ind w:left="1134" w:hanging="567"/>
        <w:contextualSpacing/>
        <w:jc w:val="both"/>
        <w:rPr>
          <w:rFonts w:ascii="Tahoma" w:hAnsi="Tahoma" w:cs="Tahoma"/>
          <w:sz w:val="23"/>
          <w:szCs w:val="23"/>
        </w:rPr>
      </w:pPr>
      <w:r w:rsidRPr="006E77B3">
        <w:rPr>
          <w:rFonts w:ascii="Tahoma" w:hAnsi="Tahoma" w:cs="Tahoma"/>
          <w:sz w:val="23"/>
          <w:szCs w:val="23"/>
        </w:rPr>
        <w:t>Solicitó que se le excluya del presente procedimiento, en virtud del artículo 296 del Reglamento de la Ley de Contrataciones del Estado, aprobado mediante Decreto Supremo Nº 084-2004-PCM, al no participar directamente en la ejecución de la obra, debido a que su participación se limitó única y exclusivamente a brindar asistencia técnica y no a ejecutar la obra, labor que le correspondía a la empresa PROMACSA S.A.C, al corresponderle el 95% de la participación del Consorcio.</w:t>
      </w:r>
    </w:p>
    <w:p w:rsidR="006E77B3" w:rsidRPr="006E77B3" w:rsidRDefault="006E77B3" w:rsidP="006E77B3">
      <w:pPr>
        <w:pStyle w:val="Prrafodelista"/>
        <w:widowControl/>
        <w:suppressAutoHyphens w:val="0"/>
        <w:ind w:left="1134" w:hanging="567"/>
        <w:contextualSpacing/>
        <w:jc w:val="both"/>
        <w:rPr>
          <w:rFonts w:ascii="Tahoma" w:hAnsi="Tahoma" w:cs="Tahoma"/>
          <w:sz w:val="23"/>
          <w:szCs w:val="23"/>
        </w:rPr>
      </w:pPr>
    </w:p>
    <w:p w:rsidR="006E77B3" w:rsidRPr="006E77B3" w:rsidRDefault="006E77B3" w:rsidP="006E77B3">
      <w:pPr>
        <w:pStyle w:val="Prrafodelista"/>
        <w:widowControl/>
        <w:suppressAutoHyphens w:val="0"/>
        <w:ind w:left="1134"/>
        <w:contextualSpacing/>
        <w:jc w:val="both"/>
        <w:rPr>
          <w:rFonts w:ascii="Tahoma" w:hAnsi="Tahoma" w:cs="Tahoma"/>
          <w:sz w:val="23"/>
          <w:szCs w:val="23"/>
        </w:rPr>
      </w:pPr>
      <w:r w:rsidRPr="006E77B3">
        <w:rPr>
          <w:rFonts w:ascii="Tahoma" w:hAnsi="Tahoma" w:cs="Tahoma"/>
          <w:sz w:val="23"/>
          <w:szCs w:val="23"/>
        </w:rPr>
        <w:t>En efecto, tal como se puede advertir en la Declaración Jurada de fecha 31 de julio de 2009, la empresa PROMACSA S.A.C. procedió a dejar constancia de manera expresa y escrita que la empresa MEJESA S.R.L. no ha tenido participación directa en la ejecución de la obra ni en las coordinaciones correspondiente con la Entidad, sino que solamente se dedicó a la labor de asesoría.</w:t>
      </w:r>
    </w:p>
    <w:p w:rsidR="006E77B3" w:rsidRPr="006E77B3" w:rsidRDefault="006E77B3" w:rsidP="006E77B3">
      <w:pPr>
        <w:pStyle w:val="Prrafodelista"/>
        <w:widowControl/>
        <w:suppressAutoHyphens w:val="0"/>
        <w:ind w:left="1134" w:hanging="567"/>
        <w:contextualSpacing/>
        <w:jc w:val="both"/>
        <w:rPr>
          <w:rFonts w:ascii="Tahoma" w:hAnsi="Tahoma" w:cs="Tahoma"/>
          <w:sz w:val="23"/>
          <w:szCs w:val="23"/>
        </w:rPr>
      </w:pPr>
    </w:p>
    <w:p w:rsidR="006E77B3" w:rsidRPr="006E77B3" w:rsidRDefault="006E77B3" w:rsidP="006E77B3">
      <w:pPr>
        <w:pStyle w:val="Prrafodelista"/>
        <w:widowControl/>
        <w:numPr>
          <w:ilvl w:val="0"/>
          <w:numId w:val="6"/>
        </w:numPr>
        <w:suppressAutoHyphens w:val="0"/>
        <w:ind w:left="1134" w:hanging="567"/>
        <w:contextualSpacing/>
        <w:jc w:val="both"/>
        <w:rPr>
          <w:rFonts w:ascii="Tahoma" w:hAnsi="Tahoma" w:cs="Tahoma"/>
          <w:sz w:val="23"/>
          <w:szCs w:val="23"/>
        </w:rPr>
      </w:pPr>
      <w:r w:rsidRPr="006E77B3">
        <w:rPr>
          <w:rFonts w:ascii="Tahoma" w:hAnsi="Tahoma" w:cs="Tahoma"/>
          <w:sz w:val="23"/>
          <w:szCs w:val="23"/>
        </w:rPr>
        <w:t xml:space="preserve">Asimismo, señaló que la resolución del contrato efectuada por la Entidad es nula, al no haberse realizado conforme a lo establecido en el </w:t>
      </w:r>
      <w:r w:rsidRPr="006E77B3">
        <w:rPr>
          <w:rFonts w:ascii="Tahoma" w:hAnsi="Tahoma" w:cs="Tahoma"/>
          <w:sz w:val="23"/>
          <w:szCs w:val="23"/>
        </w:rPr>
        <w:lastRenderedPageBreak/>
        <w:t>artículo 226 del Reglamento de la Ley de Contrataciones y Adquisiciones del Estado, toda vez que en la Carta Notarial Nº 001-2008-MDL de fecha 01 de octubre de 2008, la Entidad otorgó al Consorcio Chavín un plazo de 05 días para levantar las observaciones, bajo apercibimiento de resolver el contrato, cuando debió haberle otorgado un plazo de 15 días.</w:t>
      </w:r>
    </w:p>
    <w:p w:rsidR="006E77B3" w:rsidRPr="006E77B3" w:rsidRDefault="006E77B3" w:rsidP="006E77B3">
      <w:pPr>
        <w:pStyle w:val="Prrafodelista"/>
        <w:widowControl/>
        <w:suppressAutoHyphens w:val="0"/>
        <w:ind w:left="567"/>
        <w:contextualSpacing/>
        <w:jc w:val="both"/>
        <w:rPr>
          <w:rFonts w:ascii="Tahoma" w:hAnsi="Tahoma" w:cs="Tahoma"/>
          <w:sz w:val="23"/>
          <w:szCs w:val="23"/>
        </w:rPr>
      </w:pPr>
    </w:p>
    <w:p w:rsidR="006E77B3" w:rsidRPr="006E77B3" w:rsidRDefault="006E77B3" w:rsidP="006E77B3">
      <w:pPr>
        <w:pStyle w:val="Prrafodelista"/>
        <w:widowControl/>
        <w:numPr>
          <w:ilvl w:val="0"/>
          <w:numId w:val="2"/>
        </w:numPr>
        <w:suppressAutoHyphens w:val="0"/>
        <w:ind w:left="567" w:hanging="567"/>
        <w:contextualSpacing/>
        <w:jc w:val="both"/>
        <w:rPr>
          <w:rFonts w:ascii="Tahoma" w:hAnsi="Tahoma" w:cs="Tahoma"/>
          <w:sz w:val="23"/>
          <w:szCs w:val="23"/>
        </w:rPr>
      </w:pPr>
      <w:r w:rsidRPr="006E77B3">
        <w:rPr>
          <w:rFonts w:ascii="Tahoma" w:hAnsi="Tahoma" w:cs="Tahoma"/>
          <w:sz w:val="23"/>
          <w:szCs w:val="23"/>
        </w:rPr>
        <w:t>A través del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6E77B3" w:rsidRPr="006E77B3" w:rsidRDefault="006E77B3" w:rsidP="006E77B3">
      <w:pPr>
        <w:rPr>
          <w:rFonts w:ascii="Tahoma" w:hAnsi="Tahoma" w:cs="Tahoma"/>
          <w:b/>
          <w:sz w:val="23"/>
          <w:szCs w:val="23"/>
          <w:lang w:val="es-ES_tradnl"/>
        </w:rPr>
      </w:pPr>
    </w:p>
    <w:p w:rsidR="006E77B3" w:rsidRPr="006E77B3" w:rsidRDefault="006E77B3" w:rsidP="006E77B3">
      <w:pPr>
        <w:pStyle w:val="Prrafodelista"/>
        <w:numPr>
          <w:ilvl w:val="0"/>
          <w:numId w:val="1"/>
        </w:numPr>
        <w:ind w:left="567" w:hanging="283"/>
        <w:rPr>
          <w:rFonts w:ascii="Tahoma" w:hAnsi="Tahoma" w:cs="Tahoma"/>
          <w:b/>
          <w:sz w:val="23"/>
          <w:szCs w:val="23"/>
        </w:rPr>
      </w:pPr>
      <w:r w:rsidRPr="006E77B3">
        <w:rPr>
          <w:rFonts w:ascii="Tahoma" w:hAnsi="Tahoma" w:cs="Tahoma"/>
          <w:b/>
          <w:sz w:val="23"/>
          <w:szCs w:val="23"/>
        </w:rPr>
        <w:t>FUNDAMENTACIÓN</w:t>
      </w:r>
    </w:p>
    <w:p w:rsidR="006E77B3" w:rsidRPr="006E77B3" w:rsidRDefault="006E77B3" w:rsidP="006E77B3">
      <w:pPr>
        <w:ind w:left="426"/>
        <w:jc w:val="both"/>
        <w:rPr>
          <w:rFonts w:ascii="Tahoma" w:hAnsi="Tahoma" w:cs="Tahoma"/>
          <w:sz w:val="23"/>
          <w:szCs w:val="23"/>
          <w:lang w:eastAsia="es-PE"/>
        </w:rPr>
      </w:pPr>
    </w:p>
    <w:p w:rsidR="006E77B3" w:rsidRPr="006E77B3" w:rsidRDefault="006E77B3" w:rsidP="006E77B3">
      <w:pPr>
        <w:numPr>
          <w:ilvl w:val="0"/>
          <w:numId w:val="4"/>
        </w:numPr>
        <w:tabs>
          <w:tab w:val="clear" w:pos="1440"/>
        </w:tabs>
        <w:ind w:left="567" w:hanging="567"/>
        <w:jc w:val="both"/>
        <w:rPr>
          <w:rFonts w:ascii="Tahoma" w:hAnsi="Tahoma" w:cs="Tahoma"/>
          <w:sz w:val="23"/>
          <w:szCs w:val="23"/>
        </w:rPr>
      </w:pPr>
      <w:r w:rsidRPr="006E77B3">
        <w:rPr>
          <w:rFonts w:ascii="Tahoma" w:hAnsi="Tahoma" w:cs="Tahoma"/>
          <w:sz w:val="23"/>
          <w:szCs w:val="23"/>
        </w:rPr>
        <w:t>Es materia del presente procedimiento administrativo la supuesta responsabilidad del Consorcio en la resolución del Contrato Nº 2007-MDL PROCEDIMIENTO ESPECIAL DE SELECCIÓN Nº 002-2007-MDL, derivado del Procedimiento Especial de Selección Nº 002-2007-MDL (Segunda Convocatoria), infracción tipificada en el numeral 2) del artículo 294 del Reglamento de la Ley de Contrataciones y Adquisiciones del Estado</w:t>
      </w:r>
      <w:r w:rsidRPr="006E77B3">
        <w:rPr>
          <w:rStyle w:val="Refdenotaalpie"/>
          <w:rFonts w:ascii="Tahoma" w:hAnsi="Tahoma" w:cs="Tahoma"/>
          <w:sz w:val="23"/>
          <w:szCs w:val="23"/>
        </w:rPr>
        <w:footnoteReference w:id="2"/>
      </w:r>
      <w:r w:rsidRPr="006E77B3">
        <w:rPr>
          <w:rFonts w:ascii="Tahoma" w:hAnsi="Tahoma" w:cs="Tahoma"/>
          <w:sz w:val="23"/>
          <w:szCs w:val="23"/>
        </w:rPr>
        <w:t>, aprobado por Decreto Supremo № 084-2004-PCM, en adelante el Reglamento, norma vigente al momento de suscitarse los hechos imputados.</w:t>
      </w:r>
    </w:p>
    <w:p w:rsidR="006E77B3" w:rsidRPr="006E77B3" w:rsidRDefault="006E77B3" w:rsidP="006E77B3">
      <w:pPr>
        <w:ind w:left="567"/>
        <w:jc w:val="both"/>
        <w:rPr>
          <w:rFonts w:ascii="Tahoma" w:hAnsi="Tahoma" w:cs="Tahoma"/>
          <w:sz w:val="23"/>
          <w:szCs w:val="23"/>
        </w:rPr>
      </w:pPr>
    </w:p>
    <w:p w:rsidR="006E77B3" w:rsidRPr="006E77B3" w:rsidRDefault="006E77B3" w:rsidP="006E77B3">
      <w:pPr>
        <w:numPr>
          <w:ilvl w:val="0"/>
          <w:numId w:val="4"/>
        </w:numPr>
        <w:tabs>
          <w:tab w:val="clear" w:pos="1440"/>
        </w:tabs>
        <w:ind w:left="567" w:hanging="567"/>
        <w:jc w:val="both"/>
        <w:rPr>
          <w:rFonts w:ascii="Tahoma" w:hAnsi="Tahoma" w:cs="Tahoma"/>
          <w:sz w:val="23"/>
          <w:szCs w:val="23"/>
        </w:rPr>
      </w:pPr>
      <w:r w:rsidRPr="006E77B3">
        <w:rPr>
          <w:rFonts w:ascii="Tahoma" w:hAnsi="Tahoma" w:cs="Tahoma"/>
          <w:sz w:val="23"/>
          <w:szCs w:val="23"/>
        </w:rPr>
        <w:t>Al respecto, la infracción contemplada en el numeral 2 del artículo 294 del Reglamento, establece como supuesto de hecho indispensable para su configuración, la resolución del contrato, orden de compra o de servicios, según corresponda, por causal atribuible al Contratista.</w:t>
      </w:r>
    </w:p>
    <w:p w:rsidR="006E77B3" w:rsidRPr="006E77B3" w:rsidRDefault="006E77B3" w:rsidP="006E77B3">
      <w:pPr>
        <w:pStyle w:val="Prrafodelista"/>
        <w:rPr>
          <w:rFonts w:ascii="Tahoma" w:hAnsi="Tahoma" w:cs="Tahoma"/>
          <w:sz w:val="23"/>
          <w:szCs w:val="23"/>
        </w:rPr>
      </w:pPr>
    </w:p>
    <w:p w:rsidR="006E77B3" w:rsidRPr="006E77B3" w:rsidRDefault="006E77B3" w:rsidP="006E77B3">
      <w:pPr>
        <w:numPr>
          <w:ilvl w:val="0"/>
          <w:numId w:val="4"/>
        </w:numPr>
        <w:tabs>
          <w:tab w:val="clear" w:pos="1440"/>
        </w:tabs>
        <w:ind w:left="567" w:hanging="567"/>
        <w:jc w:val="both"/>
        <w:rPr>
          <w:rFonts w:ascii="Tahoma" w:hAnsi="Tahoma" w:cs="Tahoma"/>
          <w:sz w:val="23"/>
          <w:szCs w:val="23"/>
        </w:rPr>
      </w:pPr>
      <w:r w:rsidRPr="006E77B3">
        <w:rPr>
          <w:rFonts w:ascii="Tahoma" w:hAnsi="Tahoma" w:cs="Tahoma"/>
          <w:sz w:val="23"/>
          <w:szCs w:val="23"/>
          <w:lang w:val="es-PE"/>
        </w:rPr>
        <w:t>Conforme a los criterios adoptados por el Tribunal en anteriores oportunidades,</w:t>
      </w:r>
      <w:r w:rsidRPr="006E77B3">
        <w:rPr>
          <w:rFonts w:ascii="Tahoma" w:hAnsi="Tahoma" w:cs="Tahoma"/>
          <w:sz w:val="23"/>
          <w:szCs w:val="23"/>
        </w:rPr>
        <w:t xml:space="preserve"> para que se configure el supuesto de hecho de la norma que contiene la infracción imputada, debe necesariamente acreditarse que el contrato, orden de compra u orden de servicios, haya sido resuelto por causal atribuible al propio contratista, de conformidad con el inciso c del artículo 41 del Texto Único Ordenado de la Ley de Contrataciones y Adquisiciones del </w:t>
      </w:r>
      <w:r w:rsidRPr="006E77B3">
        <w:rPr>
          <w:rFonts w:ascii="Tahoma" w:hAnsi="Tahoma" w:cs="Tahoma"/>
          <w:sz w:val="23"/>
          <w:szCs w:val="23"/>
        </w:rPr>
        <w:lastRenderedPageBreak/>
        <w:t>Estado, aprobado por Decreto Supremo № 083-2004-PCM (en adelante la Ley), en concordancia con el artículo 225 del Reglamento, y atendiendo al procedimiento regulado en el artículo 226 del citado cuerpo normativo.</w:t>
      </w:r>
    </w:p>
    <w:p w:rsidR="006E77B3" w:rsidRPr="006E77B3" w:rsidRDefault="006E77B3" w:rsidP="006E77B3">
      <w:pPr>
        <w:pStyle w:val="Prrafodelista"/>
        <w:rPr>
          <w:rFonts w:ascii="Tahoma" w:hAnsi="Tahoma" w:cs="Tahoma"/>
          <w:sz w:val="23"/>
          <w:szCs w:val="23"/>
        </w:rPr>
      </w:pPr>
    </w:p>
    <w:p w:rsidR="006E77B3" w:rsidRPr="006E77B3" w:rsidRDefault="006E77B3" w:rsidP="006E77B3">
      <w:pPr>
        <w:numPr>
          <w:ilvl w:val="0"/>
          <w:numId w:val="4"/>
        </w:numPr>
        <w:tabs>
          <w:tab w:val="clear" w:pos="1440"/>
        </w:tabs>
        <w:ind w:left="567" w:hanging="567"/>
        <w:jc w:val="both"/>
        <w:rPr>
          <w:rFonts w:ascii="Tahoma" w:hAnsi="Tahoma" w:cs="Tahoma"/>
          <w:sz w:val="23"/>
          <w:szCs w:val="23"/>
        </w:rPr>
      </w:pPr>
      <w:r w:rsidRPr="006E77B3">
        <w:rPr>
          <w:rFonts w:ascii="Tahoma" w:hAnsi="Tahoma" w:cs="Tahoma"/>
          <w:sz w:val="23"/>
          <w:szCs w:val="23"/>
        </w:rPr>
        <w:t>Precisamente, el literal c) del artículo 41 de la Ley dispone que en caso de incumplimiento por parte del contratista de alguna de sus obligaciones, que haya sido previamente observada por la Entidad, y no haya sido materia de subsanación, esta última podrá resolver el contrato, en forma total y parcial, mediante la remisión por la vía notarial del documento en el que se manifieste esta decisión y el motivo que la justifica.</w:t>
      </w:r>
    </w:p>
    <w:p w:rsidR="006E77B3" w:rsidRPr="006E77B3" w:rsidRDefault="006E77B3" w:rsidP="006E77B3">
      <w:pPr>
        <w:pStyle w:val="Prrafodelista"/>
        <w:rPr>
          <w:rFonts w:ascii="Tahoma" w:hAnsi="Tahoma" w:cs="Tahoma"/>
          <w:sz w:val="23"/>
          <w:szCs w:val="23"/>
        </w:rPr>
      </w:pPr>
    </w:p>
    <w:p w:rsidR="006E77B3" w:rsidRPr="006E77B3" w:rsidRDefault="006E77B3" w:rsidP="006E77B3">
      <w:pPr>
        <w:numPr>
          <w:ilvl w:val="0"/>
          <w:numId w:val="4"/>
        </w:numPr>
        <w:tabs>
          <w:tab w:val="clear" w:pos="1440"/>
        </w:tabs>
        <w:ind w:left="567" w:hanging="567"/>
        <w:jc w:val="both"/>
        <w:rPr>
          <w:rFonts w:ascii="Tahoma" w:hAnsi="Tahoma" w:cs="Tahoma"/>
          <w:sz w:val="23"/>
          <w:szCs w:val="23"/>
        </w:rPr>
      </w:pPr>
      <w:r w:rsidRPr="006E77B3">
        <w:rPr>
          <w:rFonts w:ascii="Tahoma" w:hAnsi="Tahoma" w:cs="Tahoma"/>
          <w:sz w:val="23"/>
          <w:szCs w:val="23"/>
        </w:rPr>
        <w:t>Asimismo, el artículo 226 del Reglamento prescribe que, si alguna de las partes faltara al cumplimiento de sus obligaciones, la parte perjudicada deberá requerirla mediante carta notarial para que la satisfaga en un plazo no mayor de cinco (5) días, bajo apercibimiento de resolver el contrato. Asimismo, establece que dependiendo del monto contractual y de la complejidad, envergadura o sofisticación de la adquisición o contratación, la Entidad puede establecer plazos mayores, pero en ningún caso mayor a quince (15) días, plazo este último que se otorgará necesariamente en el caso de obras. Si vencido el plazo otorgado dicho incumplimiento persiste, mediante carta notarial se le resolverá el contrato, de manera total o parcial, según corresponda.</w:t>
      </w:r>
    </w:p>
    <w:p w:rsidR="006E77B3" w:rsidRPr="006E77B3" w:rsidRDefault="006E77B3" w:rsidP="006E77B3">
      <w:pPr>
        <w:pStyle w:val="Prrafodelista"/>
        <w:rPr>
          <w:rFonts w:ascii="Tahoma" w:hAnsi="Tahoma" w:cs="Tahoma"/>
          <w:sz w:val="23"/>
          <w:szCs w:val="23"/>
        </w:rPr>
      </w:pPr>
    </w:p>
    <w:p w:rsidR="006E77B3" w:rsidRPr="006E77B3" w:rsidRDefault="006E77B3" w:rsidP="006E77B3">
      <w:pPr>
        <w:numPr>
          <w:ilvl w:val="0"/>
          <w:numId w:val="4"/>
        </w:numPr>
        <w:tabs>
          <w:tab w:val="clear" w:pos="1440"/>
        </w:tabs>
        <w:ind w:left="567" w:hanging="567"/>
        <w:jc w:val="both"/>
        <w:rPr>
          <w:rFonts w:ascii="Tahoma" w:hAnsi="Tahoma" w:cs="Tahoma"/>
          <w:sz w:val="23"/>
          <w:szCs w:val="23"/>
        </w:rPr>
      </w:pPr>
      <w:r w:rsidRPr="006E77B3">
        <w:rPr>
          <w:rFonts w:ascii="Tahoma" w:hAnsi="Tahoma" w:cs="Tahoma"/>
          <w:sz w:val="23"/>
          <w:szCs w:val="23"/>
        </w:rPr>
        <w:t>De la lectura de las disposiciones glosadas, se advierte que para que la resolución contractual sea válida es imperativo que la Entidad siga el procedimiento descrito y cumpla con las formalidades previstas en la normativa.</w:t>
      </w:r>
    </w:p>
    <w:p w:rsidR="006E77B3" w:rsidRPr="006E77B3" w:rsidRDefault="006E77B3" w:rsidP="006E77B3">
      <w:pPr>
        <w:pStyle w:val="Prrafodelista"/>
        <w:rPr>
          <w:rFonts w:ascii="Tahoma" w:hAnsi="Tahoma" w:cs="Tahoma"/>
          <w:sz w:val="23"/>
          <w:szCs w:val="23"/>
        </w:rPr>
      </w:pPr>
    </w:p>
    <w:p w:rsidR="006E77B3" w:rsidRPr="006E77B3" w:rsidRDefault="006E77B3" w:rsidP="006E77B3">
      <w:pPr>
        <w:numPr>
          <w:ilvl w:val="0"/>
          <w:numId w:val="4"/>
        </w:numPr>
        <w:tabs>
          <w:tab w:val="clear" w:pos="1440"/>
        </w:tabs>
        <w:ind w:left="567" w:hanging="567"/>
        <w:jc w:val="both"/>
        <w:rPr>
          <w:rFonts w:ascii="Tahoma" w:hAnsi="Tahoma" w:cs="Tahoma"/>
          <w:sz w:val="23"/>
          <w:szCs w:val="23"/>
        </w:rPr>
      </w:pPr>
      <w:r w:rsidRPr="006E77B3">
        <w:rPr>
          <w:rFonts w:ascii="Tahoma" w:hAnsi="Tahoma" w:cs="Tahoma"/>
          <w:sz w:val="23"/>
          <w:szCs w:val="23"/>
        </w:rPr>
        <w:t xml:space="preserve">De esta manera, si el Tribunal verifica que la Entidad no ha resuelto el contrato conforme al procedimiento de resolución descrito, no se configura la </w:t>
      </w:r>
      <w:r w:rsidRPr="006E77B3">
        <w:rPr>
          <w:rFonts w:ascii="Tahoma" w:hAnsi="Tahoma" w:cs="Tahoma"/>
          <w:sz w:val="23"/>
          <w:szCs w:val="23"/>
          <w:lang w:val="es-PE"/>
        </w:rPr>
        <w:t>infracción tipificada en el numeral 2 del artículo 294 del Reglamento</w:t>
      </w:r>
      <w:r w:rsidRPr="006E77B3">
        <w:rPr>
          <w:rFonts w:ascii="Tahoma" w:hAnsi="Tahoma" w:cs="Tahoma"/>
          <w:sz w:val="23"/>
          <w:szCs w:val="23"/>
        </w:rPr>
        <w:t xml:space="preserve"> y, por tanto, la conducta no será pasible de sanción.</w:t>
      </w:r>
    </w:p>
    <w:p w:rsidR="006E77B3" w:rsidRPr="006E77B3" w:rsidRDefault="006E77B3" w:rsidP="006E77B3">
      <w:pPr>
        <w:pStyle w:val="Prrafodelista"/>
        <w:rPr>
          <w:rFonts w:ascii="Tahoma" w:hAnsi="Tahoma" w:cs="Tahoma"/>
          <w:sz w:val="23"/>
          <w:szCs w:val="23"/>
        </w:rPr>
      </w:pPr>
    </w:p>
    <w:p w:rsidR="006E77B3" w:rsidRPr="006E77B3" w:rsidRDefault="006E77B3" w:rsidP="006E77B3">
      <w:pPr>
        <w:numPr>
          <w:ilvl w:val="0"/>
          <w:numId w:val="4"/>
        </w:numPr>
        <w:tabs>
          <w:tab w:val="clear" w:pos="1440"/>
        </w:tabs>
        <w:ind w:left="567" w:hanging="567"/>
        <w:jc w:val="both"/>
        <w:rPr>
          <w:rFonts w:ascii="Tahoma" w:hAnsi="Tahoma" w:cs="Tahoma"/>
          <w:sz w:val="23"/>
          <w:szCs w:val="23"/>
        </w:rPr>
      </w:pPr>
      <w:r w:rsidRPr="006E77B3">
        <w:rPr>
          <w:rFonts w:ascii="Tahoma" w:hAnsi="Tahoma" w:cs="Tahoma"/>
          <w:sz w:val="23"/>
          <w:szCs w:val="23"/>
          <w:lang w:val="es-ES_tradnl"/>
        </w:rPr>
        <w:t xml:space="preserve">Ahora bien, </w:t>
      </w:r>
      <w:r w:rsidRPr="006E77B3">
        <w:rPr>
          <w:rFonts w:ascii="Tahoma" w:hAnsi="Tahoma" w:cs="Tahoma"/>
          <w:sz w:val="23"/>
          <w:szCs w:val="23"/>
        </w:rPr>
        <w:t>en el caso que nos ocupa, de la revisión de la documentación remitida por la Entidad, se tiene que, mediante CARTA NOTARIAL Nº 001-2008-MDL/ALCALDIA, notificada notarialmente el 09 de octubre de 2008, la Entidad solicitó al Consorcio lo siguiente:</w:t>
      </w:r>
    </w:p>
    <w:p w:rsidR="006E77B3" w:rsidRPr="006E77B3" w:rsidRDefault="006E77B3" w:rsidP="006E77B3">
      <w:pPr>
        <w:contextualSpacing/>
        <w:jc w:val="both"/>
        <w:rPr>
          <w:rFonts w:ascii="Tahoma" w:hAnsi="Tahoma" w:cs="Tahoma"/>
          <w:sz w:val="23"/>
          <w:szCs w:val="23"/>
        </w:rPr>
      </w:pPr>
    </w:p>
    <w:p w:rsidR="006E77B3" w:rsidRPr="006E77B3" w:rsidRDefault="006E77B3" w:rsidP="006E77B3">
      <w:pPr>
        <w:pStyle w:val="Prrafodelista"/>
        <w:widowControl/>
        <w:suppressAutoHyphens w:val="0"/>
        <w:ind w:left="851" w:right="282"/>
        <w:contextualSpacing/>
        <w:jc w:val="both"/>
        <w:rPr>
          <w:rFonts w:ascii="Tahoma" w:hAnsi="Tahoma" w:cs="Tahoma"/>
          <w:i/>
          <w:sz w:val="23"/>
          <w:szCs w:val="23"/>
        </w:rPr>
      </w:pPr>
      <w:r w:rsidRPr="006E77B3">
        <w:rPr>
          <w:rFonts w:ascii="Tahoma" w:hAnsi="Tahoma" w:cs="Tahoma"/>
          <w:i/>
          <w:sz w:val="23"/>
          <w:szCs w:val="23"/>
        </w:rPr>
        <w:t xml:space="preserve">“Sr. Representante Legal del Consorcio Chavín, reciba Ud. Un saludo cordial y fraterno, al mismo tiempo aprovechar la oportunidad de </w:t>
      </w:r>
      <w:r w:rsidRPr="006E77B3">
        <w:rPr>
          <w:rFonts w:ascii="Tahoma" w:hAnsi="Tahoma" w:cs="Tahoma"/>
          <w:i/>
          <w:sz w:val="23"/>
          <w:szCs w:val="23"/>
        </w:rPr>
        <w:lastRenderedPageBreak/>
        <w:t>hacerle llegar la presente carta notarial para subsanar las observaciones indicadas:</w:t>
      </w:r>
    </w:p>
    <w:p w:rsidR="006E77B3" w:rsidRPr="006E77B3" w:rsidRDefault="006E77B3" w:rsidP="006E77B3">
      <w:pPr>
        <w:pStyle w:val="Prrafodelista"/>
        <w:widowControl/>
        <w:suppressAutoHyphens w:val="0"/>
        <w:ind w:left="851" w:right="282"/>
        <w:contextualSpacing/>
        <w:jc w:val="both"/>
        <w:rPr>
          <w:rFonts w:ascii="Tahoma" w:hAnsi="Tahoma" w:cs="Tahoma"/>
          <w:i/>
          <w:sz w:val="23"/>
          <w:szCs w:val="23"/>
        </w:rPr>
      </w:pPr>
    </w:p>
    <w:p w:rsidR="006E77B3" w:rsidRPr="006E77B3" w:rsidRDefault="006E77B3" w:rsidP="006E77B3">
      <w:pPr>
        <w:pStyle w:val="Prrafodelista"/>
        <w:widowControl/>
        <w:numPr>
          <w:ilvl w:val="0"/>
          <w:numId w:val="7"/>
        </w:numPr>
        <w:suppressAutoHyphens w:val="0"/>
        <w:ind w:left="1418" w:right="282" w:hanging="502"/>
        <w:contextualSpacing/>
        <w:jc w:val="both"/>
        <w:rPr>
          <w:rFonts w:ascii="Tahoma" w:hAnsi="Tahoma" w:cs="Tahoma"/>
          <w:i/>
          <w:sz w:val="23"/>
          <w:szCs w:val="23"/>
        </w:rPr>
      </w:pPr>
      <w:r w:rsidRPr="006E77B3">
        <w:rPr>
          <w:rFonts w:ascii="Tahoma" w:hAnsi="Tahoma" w:cs="Tahoma"/>
          <w:i/>
          <w:sz w:val="23"/>
          <w:szCs w:val="23"/>
        </w:rPr>
        <w:t xml:space="preserve">Su empresa ha paralizado la obra desde el 01-Septiembre-2008 hasta la fecha de manera injustificada, lo cual esta incumpliendo la cláusula 19 del contrato Y los </w:t>
      </w:r>
      <w:proofErr w:type="gramStart"/>
      <w:r w:rsidRPr="006E77B3">
        <w:rPr>
          <w:rFonts w:ascii="Tahoma" w:hAnsi="Tahoma" w:cs="Tahoma"/>
          <w:i/>
          <w:sz w:val="23"/>
          <w:szCs w:val="23"/>
        </w:rPr>
        <w:t>Articulo</w:t>
      </w:r>
      <w:proofErr w:type="gramEnd"/>
      <w:r w:rsidRPr="006E77B3">
        <w:rPr>
          <w:rFonts w:ascii="Tahoma" w:hAnsi="Tahoma" w:cs="Tahoma"/>
          <w:i/>
          <w:sz w:val="23"/>
          <w:szCs w:val="23"/>
        </w:rPr>
        <w:t xml:space="preserve"> 225, 226 y 227.</w:t>
      </w:r>
    </w:p>
    <w:p w:rsidR="006E77B3" w:rsidRPr="006E77B3" w:rsidRDefault="006E77B3" w:rsidP="006E77B3">
      <w:pPr>
        <w:pStyle w:val="Prrafodelista"/>
        <w:widowControl/>
        <w:suppressAutoHyphens w:val="0"/>
        <w:ind w:left="1418" w:right="282" w:hanging="502"/>
        <w:contextualSpacing/>
        <w:jc w:val="both"/>
        <w:rPr>
          <w:rFonts w:ascii="Tahoma" w:hAnsi="Tahoma" w:cs="Tahoma"/>
          <w:i/>
          <w:sz w:val="23"/>
          <w:szCs w:val="23"/>
        </w:rPr>
      </w:pPr>
    </w:p>
    <w:p w:rsidR="006E77B3" w:rsidRPr="006E77B3" w:rsidRDefault="006E77B3" w:rsidP="006E77B3">
      <w:pPr>
        <w:pStyle w:val="Prrafodelista"/>
        <w:widowControl/>
        <w:numPr>
          <w:ilvl w:val="0"/>
          <w:numId w:val="7"/>
        </w:numPr>
        <w:suppressAutoHyphens w:val="0"/>
        <w:ind w:left="1418" w:right="282" w:hanging="502"/>
        <w:contextualSpacing/>
        <w:jc w:val="both"/>
        <w:rPr>
          <w:rFonts w:ascii="Tahoma" w:hAnsi="Tahoma" w:cs="Tahoma"/>
          <w:i/>
          <w:sz w:val="23"/>
          <w:szCs w:val="23"/>
        </w:rPr>
      </w:pPr>
      <w:r w:rsidRPr="006E77B3">
        <w:rPr>
          <w:rFonts w:ascii="Tahoma" w:hAnsi="Tahoma" w:cs="Tahoma"/>
          <w:i/>
          <w:sz w:val="23"/>
          <w:szCs w:val="23"/>
        </w:rPr>
        <w:t>Su Empresa desde el inicio de la obra ha venido incumpliendo, es decir nunca se contó con la presencia del Ing. Residente de la Obra.</w:t>
      </w:r>
    </w:p>
    <w:p w:rsidR="006E77B3" w:rsidRPr="006E77B3" w:rsidRDefault="006E77B3" w:rsidP="006E77B3">
      <w:pPr>
        <w:pStyle w:val="Prrafodelista"/>
        <w:widowControl/>
        <w:suppressAutoHyphens w:val="0"/>
        <w:ind w:left="851" w:right="282"/>
        <w:contextualSpacing/>
        <w:jc w:val="both"/>
        <w:rPr>
          <w:rFonts w:ascii="Tahoma" w:hAnsi="Tahoma" w:cs="Tahoma"/>
          <w:i/>
          <w:sz w:val="23"/>
          <w:szCs w:val="23"/>
        </w:rPr>
      </w:pPr>
    </w:p>
    <w:p w:rsidR="006E77B3" w:rsidRPr="006E77B3" w:rsidRDefault="006E77B3" w:rsidP="006E77B3">
      <w:pPr>
        <w:pStyle w:val="Prrafodelista"/>
        <w:widowControl/>
        <w:suppressAutoHyphens w:val="0"/>
        <w:ind w:left="851" w:right="282"/>
        <w:contextualSpacing/>
        <w:jc w:val="both"/>
        <w:rPr>
          <w:rFonts w:ascii="Tahoma" w:hAnsi="Tahoma" w:cs="Tahoma"/>
          <w:i/>
          <w:sz w:val="23"/>
          <w:szCs w:val="23"/>
        </w:rPr>
      </w:pPr>
      <w:r w:rsidRPr="006E77B3">
        <w:rPr>
          <w:rFonts w:ascii="Tahoma" w:hAnsi="Tahoma" w:cs="Tahoma"/>
          <w:i/>
          <w:sz w:val="23"/>
          <w:szCs w:val="23"/>
        </w:rPr>
        <w:t>Se le notifica para que en el plazo PERENTORIO DE 05 DIAS CALENDARIOS CUMPLA CON REINICIAR LA OBRA, contados a partir de la recepción de la presente carta, Así como se tendrá en cuenta que en el reinicio de la Obra se deberá contar con el Ing. Residente de la Obra, caso contrario no se permitirá el reinicio de la obra.</w:t>
      </w:r>
    </w:p>
    <w:p w:rsidR="006E77B3" w:rsidRPr="006E77B3" w:rsidRDefault="006E77B3" w:rsidP="006E77B3">
      <w:pPr>
        <w:pStyle w:val="Prrafodelista"/>
        <w:widowControl/>
        <w:suppressAutoHyphens w:val="0"/>
        <w:ind w:left="851" w:right="282"/>
        <w:contextualSpacing/>
        <w:jc w:val="both"/>
        <w:rPr>
          <w:rFonts w:ascii="Tahoma" w:hAnsi="Tahoma" w:cs="Tahoma"/>
          <w:i/>
          <w:sz w:val="23"/>
          <w:szCs w:val="23"/>
        </w:rPr>
      </w:pPr>
    </w:p>
    <w:p w:rsidR="006E77B3" w:rsidRPr="006E77B3" w:rsidRDefault="006E77B3" w:rsidP="006E77B3">
      <w:pPr>
        <w:pStyle w:val="Prrafodelista"/>
        <w:widowControl/>
        <w:suppressAutoHyphens w:val="0"/>
        <w:ind w:left="851" w:right="282"/>
        <w:contextualSpacing/>
        <w:jc w:val="both"/>
        <w:rPr>
          <w:rFonts w:ascii="Tahoma" w:hAnsi="Tahoma" w:cs="Tahoma"/>
          <w:i/>
          <w:sz w:val="23"/>
          <w:szCs w:val="23"/>
        </w:rPr>
      </w:pPr>
      <w:r w:rsidRPr="006E77B3">
        <w:rPr>
          <w:rFonts w:ascii="Tahoma" w:hAnsi="Tahoma" w:cs="Tahoma"/>
          <w:i/>
          <w:sz w:val="23"/>
          <w:szCs w:val="23"/>
        </w:rPr>
        <w:t xml:space="preserve">En caso de haber caso omiso se estará Aplicando las acciones Legales de Resolución del contrato conformidad con lo establecido en el Reglamento de Contrataciones y adquisiciones del estado, aprobado por D.S Nº 084-2004-PCM.” </w:t>
      </w:r>
      <w:r w:rsidRPr="006E77B3">
        <w:rPr>
          <w:rFonts w:ascii="Tahoma" w:hAnsi="Tahoma" w:cs="Tahoma"/>
          <w:sz w:val="23"/>
          <w:szCs w:val="23"/>
        </w:rPr>
        <w:t>(SIC)</w:t>
      </w:r>
    </w:p>
    <w:p w:rsidR="006E77B3" w:rsidRPr="006E77B3" w:rsidRDefault="006E77B3" w:rsidP="006E77B3">
      <w:pPr>
        <w:pStyle w:val="Prrafodelista"/>
        <w:widowControl/>
        <w:suppressAutoHyphens w:val="0"/>
        <w:ind w:left="567"/>
        <w:contextualSpacing/>
        <w:jc w:val="both"/>
        <w:rPr>
          <w:rFonts w:ascii="Tahoma" w:hAnsi="Tahoma" w:cs="Tahoma"/>
          <w:sz w:val="23"/>
          <w:szCs w:val="23"/>
        </w:rPr>
      </w:pPr>
    </w:p>
    <w:p w:rsidR="006E77B3" w:rsidRPr="006E77B3" w:rsidRDefault="006E77B3" w:rsidP="006E77B3">
      <w:pPr>
        <w:numPr>
          <w:ilvl w:val="0"/>
          <w:numId w:val="4"/>
        </w:numPr>
        <w:tabs>
          <w:tab w:val="clear" w:pos="1440"/>
        </w:tabs>
        <w:ind w:left="567" w:hanging="567"/>
        <w:jc w:val="both"/>
        <w:rPr>
          <w:rFonts w:ascii="Tahoma" w:hAnsi="Tahoma" w:cs="Tahoma"/>
          <w:sz w:val="23"/>
          <w:szCs w:val="23"/>
        </w:rPr>
      </w:pPr>
      <w:r w:rsidRPr="006E77B3">
        <w:rPr>
          <w:rFonts w:ascii="Tahoma" w:hAnsi="Tahoma" w:cs="Tahoma"/>
          <w:sz w:val="23"/>
          <w:szCs w:val="23"/>
        </w:rPr>
        <w:t xml:space="preserve">Tal como se puede advertir, </w:t>
      </w:r>
      <w:r w:rsidRPr="006E77B3">
        <w:rPr>
          <w:rFonts w:ascii="Tahoma" w:hAnsi="Tahoma" w:cs="Tahoma"/>
          <w:sz w:val="23"/>
          <w:szCs w:val="23"/>
          <w:lang w:val="es-MX"/>
        </w:rPr>
        <w:t>la Entidad otorgó al Consorcio un plazo de cinco días calendarios para que cumpla con sus obligaciones contractuales, cuando en el segundo párrafo del artículo 226 del Reglamento se dispone expresamente que,</w:t>
      </w:r>
      <w:r w:rsidRPr="006E77B3">
        <w:rPr>
          <w:rFonts w:ascii="Tahoma" w:hAnsi="Tahoma" w:cs="Tahoma"/>
          <w:sz w:val="23"/>
          <w:szCs w:val="23"/>
        </w:rPr>
        <w:t xml:space="preserve"> tratándose de obras, el plazo a ser otorgado al contratista, a fin que cumpla con las obligaciones a su cargo, </w:t>
      </w:r>
      <w:r w:rsidRPr="006E77B3">
        <w:rPr>
          <w:rFonts w:ascii="Tahoma" w:hAnsi="Tahoma" w:cs="Tahoma"/>
          <w:b/>
          <w:sz w:val="23"/>
          <w:szCs w:val="23"/>
        </w:rPr>
        <w:t>debe ser de 15 días</w:t>
      </w:r>
      <w:r w:rsidRPr="006E77B3">
        <w:rPr>
          <w:rFonts w:ascii="Tahoma" w:hAnsi="Tahoma" w:cs="Tahoma"/>
          <w:sz w:val="23"/>
          <w:szCs w:val="23"/>
        </w:rPr>
        <w:t>, norma que no ha sido observada en el presente caso, toda vez que, tal como se ha podido verificar, en la carta notarial de requerimiento del cumplimiento de las obligaciones contractuales, la Entidad otorgó al consorcio un plazo menor.</w:t>
      </w:r>
    </w:p>
    <w:p w:rsidR="006E77B3" w:rsidRPr="006E77B3" w:rsidRDefault="006E77B3" w:rsidP="006E77B3">
      <w:pPr>
        <w:ind w:left="567"/>
        <w:jc w:val="both"/>
        <w:rPr>
          <w:rFonts w:ascii="Tahoma" w:hAnsi="Tahoma" w:cs="Tahoma"/>
          <w:sz w:val="23"/>
          <w:szCs w:val="23"/>
        </w:rPr>
      </w:pPr>
    </w:p>
    <w:p w:rsidR="006E77B3" w:rsidRPr="006E77B3" w:rsidRDefault="006E77B3" w:rsidP="006E77B3">
      <w:pPr>
        <w:numPr>
          <w:ilvl w:val="0"/>
          <w:numId w:val="4"/>
        </w:numPr>
        <w:tabs>
          <w:tab w:val="clear" w:pos="1440"/>
        </w:tabs>
        <w:ind w:left="567" w:hanging="567"/>
        <w:jc w:val="both"/>
        <w:rPr>
          <w:rFonts w:ascii="Tahoma" w:hAnsi="Tahoma" w:cs="Tahoma"/>
          <w:sz w:val="23"/>
          <w:szCs w:val="23"/>
        </w:rPr>
      </w:pPr>
      <w:r w:rsidRPr="006E77B3">
        <w:rPr>
          <w:rFonts w:ascii="Tahoma" w:hAnsi="Tahoma" w:cs="Tahoma"/>
          <w:sz w:val="23"/>
          <w:szCs w:val="23"/>
          <w:lang w:val="es-MX"/>
        </w:rPr>
        <w:t>Consecuentemente</w:t>
      </w:r>
      <w:r w:rsidRPr="006E77B3">
        <w:rPr>
          <w:rFonts w:ascii="Tahoma" w:hAnsi="Tahoma" w:cs="Tahoma"/>
          <w:sz w:val="23"/>
          <w:szCs w:val="23"/>
        </w:rPr>
        <w:t xml:space="preserve">, dado que los hechos expuestos </w:t>
      </w:r>
      <w:r w:rsidRPr="006E77B3">
        <w:rPr>
          <w:rFonts w:ascii="Tahoma" w:hAnsi="Tahoma" w:cs="Tahoma"/>
          <w:sz w:val="23"/>
          <w:szCs w:val="23"/>
          <w:lang w:val="es-ES_tradnl"/>
        </w:rPr>
        <w:t xml:space="preserve">acreditan que </w:t>
      </w:r>
      <w:r w:rsidRPr="006E77B3">
        <w:rPr>
          <w:rFonts w:ascii="Tahoma" w:hAnsi="Tahoma" w:cs="Tahoma"/>
          <w:sz w:val="23"/>
          <w:szCs w:val="23"/>
        </w:rPr>
        <w:t xml:space="preserve">la Entidad no ha observado el procedimiento previsto en los artículos 225 y 226 del mencionado Reglamento, condición </w:t>
      </w:r>
      <w:r w:rsidRPr="006E77B3">
        <w:rPr>
          <w:rFonts w:ascii="Tahoma" w:hAnsi="Tahoma" w:cs="Tahoma"/>
          <w:i/>
          <w:sz w:val="23"/>
          <w:szCs w:val="23"/>
        </w:rPr>
        <w:t xml:space="preserve">sine qua non </w:t>
      </w:r>
      <w:r w:rsidRPr="006E77B3">
        <w:rPr>
          <w:rFonts w:ascii="Tahoma" w:hAnsi="Tahoma" w:cs="Tahoma"/>
          <w:sz w:val="23"/>
          <w:szCs w:val="23"/>
        </w:rPr>
        <w:t>para la configuración de la infracción imputada y, por ende, para la procedencia de la aplicación de sanción contra el Consorcio, según lo establecido en el numeral 2 del artículo 294 del citado cuerpo normativo, este Colegiado considera que no resulta procedente la aplicación de sanción.</w:t>
      </w:r>
    </w:p>
    <w:p w:rsidR="006E77B3" w:rsidRPr="006E77B3" w:rsidRDefault="006E77B3" w:rsidP="006E77B3">
      <w:pPr>
        <w:jc w:val="both"/>
        <w:rPr>
          <w:rFonts w:ascii="Tahoma" w:hAnsi="Tahoma" w:cs="Tahoma"/>
          <w:sz w:val="23"/>
          <w:szCs w:val="23"/>
        </w:rPr>
      </w:pPr>
    </w:p>
    <w:p w:rsidR="006E77B3" w:rsidRPr="006E77B3" w:rsidRDefault="006E77B3" w:rsidP="006E77B3">
      <w:pPr>
        <w:ind w:firstLine="567"/>
        <w:jc w:val="both"/>
        <w:rPr>
          <w:rFonts w:ascii="Tahoma" w:eastAsia="Calibri" w:hAnsi="Tahoma" w:cs="Tahoma"/>
          <w:color w:val="000000"/>
          <w:sz w:val="23"/>
          <w:szCs w:val="23"/>
        </w:rPr>
      </w:pPr>
      <w:r w:rsidRPr="006E77B3">
        <w:rPr>
          <w:rFonts w:ascii="Tahoma" w:eastAsia="Calibri" w:hAnsi="Tahoma" w:cs="Tahoma"/>
          <w:color w:val="000000"/>
          <w:sz w:val="23"/>
          <w:szCs w:val="23"/>
        </w:rPr>
        <w:t xml:space="preserve">Por estos fundamentos, de conformidad con el informe de la Vocal Ponente Dra. Ada Rosa Basulto Liewald y la intervención de los Señores Vocales Dra. Janette Elke Ramírez Maynetto y Dr. Carlos Fernando Fonseca Oliveira; atendiendo </w:t>
      </w:r>
      <w:r w:rsidRPr="006E77B3">
        <w:rPr>
          <w:rFonts w:ascii="Tahoma" w:eastAsia="Calibri" w:hAnsi="Tahoma" w:cs="Tahoma"/>
          <w:color w:val="000000"/>
          <w:sz w:val="23"/>
          <w:szCs w:val="23"/>
        </w:rPr>
        <w:lastRenderedPageBreak/>
        <w:t>a la conformación de la Primera Sala del Tribunal de Contrataciones del Estado según lo dispuesto en la Resolución Nº 190-2010-OSCE/PRE de fecha 29 de marzo de 2010,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p>
    <w:p w:rsidR="006E77B3" w:rsidRPr="006E77B3" w:rsidRDefault="006E77B3" w:rsidP="006E77B3">
      <w:pPr>
        <w:ind w:firstLine="426"/>
        <w:jc w:val="both"/>
        <w:rPr>
          <w:rFonts w:ascii="Tahoma" w:hAnsi="Tahoma" w:cs="Tahoma"/>
          <w:sz w:val="23"/>
          <w:szCs w:val="23"/>
        </w:rPr>
      </w:pPr>
    </w:p>
    <w:p w:rsidR="006E77B3" w:rsidRPr="006E77B3" w:rsidRDefault="006E77B3" w:rsidP="006E77B3">
      <w:pPr>
        <w:ind w:firstLine="567"/>
        <w:jc w:val="both"/>
        <w:rPr>
          <w:rFonts w:ascii="Tahoma" w:hAnsi="Tahoma" w:cs="Tahoma"/>
          <w:b/>
          <w:sz w:val="23"/>
          <w:szCs w:val="23"/>
        </w:rPr>
      </w:pPr>
      <w:r w:rsidRPr="006E77B3">
        <w:rPr>
          <w:rFonts w:ascii="Tahoma" w:hAnsi="Tahoma" w:cs="Tahoma"/>
          <w:b/>
          <w:sz w:val="23"/>
          <w:szCs w:val="23"/>
        </w:rPr>
        <w:t xml:space="preserve">LA SALA RESUELVE: </w:t>
      </w:r>
    </w:p>
    <w:p w:rsidR="006E77B3" w:rsidRPr="006E77B3" w:rsidRDefault="006E77B3" w:rsidP="006E77B3">
      <w:pPr>
        <w:jc w:val="both"/>
        <w:rPr>
          <w:rFonts w:ascii="Tahoma" w:hAnsi="Tahoma" w:cs="Tahoma"/>
          <w:snapToGrid w:val="0"/>
          <w:sz w:val="23"/>
          <w:szCs w:val="23"/>
        </w:rPr>
      </w:pPr>
    </w:p>
    <w:p w:rsidR="006E77B3" w:rsidRPr="006E77B3" w:rsidRDefault="006E77B3" w:rsidP="006E77B3">
      <w:pPr>
        <w:pStyle w:val="Prrafodelista"/>
        <w:numPr>
          <w:ilvl w:val="0"/>
          <w:numId w:val="5"/>
        </w:numPr>
        <w:ind w:left="567" w:hanging="567"/>
        <w:contextualSpacing/>
        <w:jc w:val="both"/>
        <w:rPr>
          <w:rFonts w:ascii="Tahoma" w:hAnsi="Tahoma" w:cs="Tahoma"/>
          <w:sz w:val="23"/>
          <w:szCs w:val="23"/>
        </w:rPr>
      </w:pPr>
      <w:r w:rsidRPr="006E77B3">
        <w:rPr>
          <w:rFonts w:ascii="Tahoma" w:hAnsi="Tahoma" w:cs="Tahoma"/>
          <w:sz w:val="23"/>
          <w:szCs w:val="23"/>
        </w:rPr>
        <w:t>Declarar no ha lugar la imposición de sanción contra el CONSORCIO CHAVIN INTEGRADO POR LAS EMPRESAS PROMACSA S.A.C. y MEJESA S.R.L. y disponer el archivamiento del expediente.</w:t>
      </w:r>
    </w:p>
    <w:p w:rsidR="006E77B3" w:rsidRPr="006E77B3" w:rsidRDefault="006E77B3" w:rsidP="006E77B3">
      <w:pPr>
        <w:pStyle w:val="Prrafodelista"/>
        <w:ind w:left="426"/>
        <w:jc w:val="both"/>
        <w:rPr>
          <w:rFonts w:ascii="Tahoma" w:hAnsi="Tahoma" w:cs="Tahoma"/>
          <w:color w:val="000000" w:themeColor="text1"/>
          <w:sz w:val="23"/>
          <w:szCs w:val="23"/>
        </w:rPr>
      </w:pPr>
    </w:p>
    <w:p w:rsidR="006E77B3" w:rsidRPr="006E77B3" w:rsidRDefault="006E77B3" w:rsidP="006E77B3">
      <w:pPr>
        <w:pStyle w:val="Textoindependiente21"/>
        <w:ind w:firstLine="567"/>
        <w:rPr>
          <w:rFonts w:cs="Tahoma"/>
          <w:sz w:val="23"/>
          <w:szCs w:val="23"/>
        </w:rPr>
      </w:pPr>
      <w:r w:rsidRPr="006E77B3">
        <w:rPr>
          <w:rFonts w:cs="Tahoma"/>
          <w:sz w:val="23"/>
          <w:szCs w:val="23"/>
        </w:rPr>
        <w:t>Regístrese, comuníquese y publíquese.</w:t>
      </w:r>
    </w:p>
    <w:p w:rsidR="006E77B3" w:rsidRPr="006E77B3" w:rsidRDefault="006E77B3" w:rsidP="006E77B3">
      <w:pPr>
        <w:jc w:val="center"/>
        <w:rPr>
          <w:rFonts w:ascii="Tahoma" w:hAnsi="Tahoma" w:cs="Tahoma"/>
          <w:b/>
          <w:sz w:val="23"/>
          <w:szCs w:val="23"/>
        </w:rPr>
      </w:pPr>
    </w:p>
    <w:p w:rsidR="006E77B3" w:rsidRPr="006E77B3" w:rsidRDefault="006E77B3" w:rsidP="006E77B3">
      <w:pPr>
        <w:jc w:val="center"/>
        <w:rPr>
          <w:rFonts w:ascii="Tahoma" w:hAnsi="Tahoma" w:cs="Tahoma"/>
          <w:b/>
          <w:sz w:val="23"/>
          <w:szCs w:val="23"/>
        </w:rPr>
      </w:pPr>
    </w:p>
    <w:p w:rsidR="006E77B3" w:rsidRPr="006E77B3" w:rsidRDefault="006E77B3" w:rsidP="006E77B3">
      <w:pPr>
        <w:jc w:val="center"/>
        <w:rPr>
          <w:rFonts w:ascii="Tahoma" w:hAnsi="Tahoma" w:cs="Tahoma"/>
          <w:b/>
          <w:sz w:val="23"/>
          <w:szCs w:val="23"/>
        </w:rPr>
      </w:pPr>
    </w:p>
    <w:p w:rsidR="006E77B3" w:rsidRPr="006E77B3" w:rsidRDefault="006E77B3" w:rsidP="006E77B3">
      <w:pPr>
        <w:jc w:val="center"/>
        <w:rPr>
          <w:rFonts w:ascii="Tahoma" w:hAnsi="Tahoma" w:cs="Tahoma"/>
          <w:b/>
          <w:sz w:val="23"/>
          <w:szCs w:val="23"/>
        </w:rPr>
      </w:pPr>
    </w:p>
    <w:p w:rsidR="006E77B3" w:rsidRPr="006E77B3" w:rsidRDefault="006E77B3" w:rsidP="006E77B3">
      <w:pPr>
        <w:jc w:val="center"/>
        <w:rPr>
          <w:rFonts w:ascii="Tahoma" w:hAnsi="Tahoma" w:cs="Tahoma"/>
          <w:b/>
          <w:sz w:val="23"/>
          <w:szCs w:val="23"/>
        </w:rPr>
      </w:pPr>
    </w:p>
    <w:p w:rsidR="006E77B3" w:rsidRPr="006E77B3" w:rsidRDefault="006E77B3" w:rsidP="006E77B3">
      <w:pPr>
        <w:jc w:val="center"/>
        <w:rPr>
          <w:rFonts w:ascii="Tahoma" w:hAnsi="Tahoma" w:cs="Tahoma"/>
          <w:b/>
          <w:sz w:val="23"/>
          <w:szCs w:val="23"/>
        </w:rPr>
      </w:pPr>
    </w:p>
    <w:p w:rsidR="006E77B3" w:rsidRPr="006E77B3" w:rsidRDefault="006E77B3" w:rsidP="006E77B3">
      <w:pPr>
        <w:jc w:val="center"/>
        <w:rPr>
          <w:rFonts w:ascii="Tahoma" w:hAnsi="Tahoma" w:cs="Tahoma"/>
          <w:b/>
          <w:sz w:val="23"/>
          <w:szCs w:val="23"/>
        </w:rPr>
      </w:pPr>
    </w:p>
    <w:p w:rsidR="006E77B3" w:rsidRPr="006E77B3" w:rsidRDefault="006E77B3" w:rsidP="006E77B3">
      <w:pPr>
        <w:jc w:val="center"/>
        <w:rPr>
          <w:rFonts w:ascii="Tahoma" w:hAnsi="Tahoma" w:cs="Tahoma"/>
          <w:b/>
          <w:sz w:val="23"/>
          <w:szCs w:val="23"/>
        </w:rPr>
      </w:pPr>
    </w:p>
    <w:p w:rsidR="006E77B3" w:rsidRPr="006E77B3" w:rsidRDefault="006E77B3" w:rsidP="006E77B3">
      <w:pPr>
        <w:jc w:val="center"/>
        <w:rPr>
          <w:rFonts w:ascii="Tahoma" w:hAnsi="Tahoma" w:cs="Tahoma"/>
          <w:b/>
          <w:sz w:val="23"/>
          <w:szCs w:val="23"/>
        </w:rPr>
      </w:pPr>
    </w:p>
    <w:p w:rsidR="006E77B3" w:rsidRPr="006E77B3" w:rsidRDefault="006E77B3" w:rsidP="006E77B3">
      <w:pPr>
        <w:jc w:val="center"/>
        <w:rPr>
          <w:rFonts w:ascii="Tahoma" w:hAnsi="Tahoma" w:cs="Tahoma"/>
          <w:b/>
          <w:shadow/>
          <w:sz w:val="23"/>
          <w:szCs w:val="23"/>
          <w:lang w:val="pt-BR"/>
        </w:rPr>
      </w:pPr>
      <w:r w:rsidRPr="006E77B3">
        <w:rPr>
          <w:rFonts w:ascii="Tahoma" w:hAnsi="Tahoma" w:cs="Tahoma"/>
          <w:b/>
          <w:shadow/>
          <w:sz w:val="23"/>
          <w:szCs w:val="23"/>
          <w:lang w:val="pt-BR"/>
        </w:rPr>
        <w:t>PRESIDENTE</w:t>
      </w:r>
    </w:p>
    <w:p w:rsidR="006E77B3" w:rsidRPr="006E77B3" w:rsidRDefault="006E77B3" w:rsidP="006E77B3">
      <w:pPr>
        <w:ind w:firstLine="708"/>
        <w:rPr>
          <w:rFonts w:ascii="Tahoma" w:hAnsi="Tahoma" w:cs="Tahoma"/>
          <w:b/>
          <w:shadow/>
          <w:sz w:val="23"/>
          <w:szCs w:val="23"/>
          <w:lang w:val="pt-BR"/>
        </w:rPr>
      </w:pPr>
    </w:p>
    <w:p w:rsidR="006E77B3" w:rsidRPr="006E77B3" w:rsidRDefault="006E77B3" w:rsidP="006E77B3">
      <w:pPr>
        <w:ind w:firstLine="708"/>
        <w:rPr>
          <w:rFonts w:ascii="Tahoma" w:hAnsi="Tahoma" w:cs="Tahoma"/>
          <w:b/>
          <w:shadow/>
          <w:sz w:val="23"/>
          <w:szCs w:val="23"/>
          <w:lang w:val="pt-BR"/>
        </w:rPr>
      </w:pPr>
      <w:r w:rsidRPr="006E77B3">
        <w:rPr>
          <w:rFonts w:ascii="Tahoma" w:hAnsi="Tahoma" w:cs="Tahoma"/>
          <w:b/>
          <w:shadow/>
          <w:sz w:val="23"/>
          <w:szCs w:val="23"/>
          <w:lang w:val="pt-BR"/>
        </w:rPr>
        <w:t xml:space="preserve">VOCAL           </w:t>
      </w:r>
      <w:r w:rsidRPr="006E77B3">
        <w:rPr>
          <w:rFonts w:ascii="Tahoma" w:hAnsi="Tahoma" w:cs="Tahoma"/>
          <w:b/>
          <w:shadow/>
          <w:sz w:val="23"/>
          <w:szCs w:val="23"/>
          <w:lang w:val="pt-BR"/>
        </w:rPr>
        <w:tab/>
      </w:r>
      <w:r w:rsidRPr="006E77B3">
        <w:rPr>
          <w:rFonts w:ascii="Tahoma" w:hAnsi="Tahoma" w:cs="Tahoma"/>
          <w:b/>
          <w:shadow/>
          <w:sz w:val="23"/>
          <w:szCs w:val="23"/>
          <w:lang w:val="pt-BR"/>
        </w:rPr>
        <w:tab/>
        <w:t xml:space="preserve">                                                     VOCAL</w:t>
      </w:r>
    </w:p>
    <w:p w:rsidR="006E77B3" w:rsidRPr="006E77B3" w:rsidRDefault="006E77B3" w:rsidP="006E77B3">
      <w:pPr>
        <w:ind w:firstLine="708"/>
        <w:rPr>
          <w:rFonts w:ascii="Tahoma" w:hAnsi="Tahoma" w:cs="Tahoma"/>
          <w:b/>
          <w:shadow/>
          <w:sz w:val="23"/>
          <w:szCs w:val="23"/>
          <w:lang w:val="pt-BR"/>
        </w:rPr>
      </w:pPr>
    </w:p>
    <w:p w:rsidR="006E77B3" w:rsidRPr="006E77B3" w:rsidRDefault="006E77B3" w:rsidP="006E77B3">
      <w:pPr>
        <w:jc w:val="both"/>
        <w:rPr>
          <w:rFonts w:ascii="Tahoma" w:hAnsi="Tahoma" w:cs="Tahoma"/>
          <w:sz w:val="23"/>
          <w:szCs w:val="23"/>
          <w:lang w:val="pt-BR"/>
        </w:rPr>
      </w:pPr>
      <w:proofErr w:type="gramStart"/>
      <w:r w:rsidRPr="006E77B3">
        <w:rPr>
          <w:rFonts w:ascii="Tahoma" w:hAnsi="Tahoma" w:cs="Tahoma"/>
          <w:sz w:val="23"/>
          <w:szCs w:val="23"/>
          <w:lang w:val="pt-BR"/>
        </w:rPr>
        <w:t>ss.</w:t>
      </w:r>
      <w:proofErr w:type="gramEnd"/>
    </w:p>
    <w:p w:rsidR="006E77B3" w:rsidRPr="006E77B3" w:rsidRDefault="006E77B3" w:rsidP="006E77B3">
      <w:pPr>
        <w:pStyle w:val="Textoindependiente21"/>
        <w:tabs>
          <w:tab w:val="left" w:pos="5250"/>
        </w:tabs>
        <w:rPr>
          <w:rFonts w:cs="Tahoma"/>
          <w:sz w:val="23"/>
          <w:szCs w:val="23"/>
          <w:lang w:val="pt-BR"/>
        </w:rPr>
      </w:pPr>
      <w:r w:rsidRPr="006E77B3">
        <w:rPr>
          <w:rFonts w:cs="Tahoma"/>
          <w:sz w:val="23"/>
          <w:szCs w:val="23"/>
          <w:lang w:val="pt-BR"/>
        </w:rPr>
        <w:t>Basulto Liewald.</w:t>
      </w:r>
    </w:p>
    <w:p w:rsidR="006E77B3" w:rsidRPr="006E77B3" w:rsidRDefault="006E77B3" w:rsidP="006E77B3">
      <w:pPr>
        <w:pStyle w:val="Textoindependiente21"/>
        <w:tabs>
          <w:tab w:val="left" w:pos="5250"/>
        </w:tabs>
        <w:rPr>
          <w:rFonts w:cs="Tahoma"/>
          <w:sz w:val="23"/>
          <w:szCs w:val="23"/>
          <w:lang w:val="pt-BR"/>
        </w:rPr>
      </w:pPr>
      <w:r w:rsidRPr="006E77B3">
        <w:rPr>
          <w:rFonts w:cs="Tahoma"/>
          <w:sz w:val="23"/>
          <w:szCs w:val="23"/>
          <w:lang w:val="en-US"/>
        </w:rPr>
        <w:t>Ramírez Maynetto.</w:t>
      </w:r>
    </w:p>
    <w:p w:rsidR="006E77B3" w:rsidRPr="006E77B3" w:rsidRDefault="006E77B3" w:rsidP="006E77B3">
      <w:pPr>
        <w:pStyle w:val="Textoindependiente21"/>
        <w:rPr>
          <w:rFonts w:cs="Tahoma"/>
          <w:sz w:val="23"/>
          <w:szCs w:val="23"/>
        </w:rPr>
      </w:pPr>
      <w:r w:rsidRPr="006E77B3">
        <w:rPr>
          <w:rFonts w:cs="Tahoma"/>
          <w:sz w:val="23"/>
          <w:szCs w:val="23"/>
        </w:rPr>
        <w:t>Fonseca Oliveira.</w:t>
      </w:r>
    </w:p>
    <w:p w:rsidR="006E77B3" w:rsidRPr="006E77B3" w:rsidRDefault="006E77B3" w:rsidP="006E77B3">
      <w:pPr>
        <w:rPr>
          <w:rFonts w:ascii="Tahoma" w:hAnsi="Tahoma" w:cs="Tahoma"/>
          <w:sz w:val="23"/>
          <w:szCs w:val="23"/>
        </w:rPr>
      </w:pPr>
    </w:p>
    <w:p w:rsidR="006E77B3" w:rsidRPr="006E77B3" w:rsidRDefault="006E77B3" w:rsidP="006E77B3">
      <w:pPr>
        <w:rPr>
          <w:rFonts w:ascii="Tahoma" w:hAnsi="Tahoma" w:cs="Tahoma"/>
          <w:sz w:val="23"/>
          <w:szCs w:val="23"/>
        </w:rPr>
      </w:pPr>
    </w:p>
    <w:p w:rsidR="006E77B3" w:rsidRPr="006E77B3" w:rsidRDefault="006E77B3" w:rsidP="006E77B3">
      <w:pPr>
        <w:rPr>
          <w:sz w:val="23"/>
          <w:szCs w:val="23"/>
        </w:rPr>
      </w:pPr>
    </w:p>
    <w:p w:rsidR="008B738B" w:rsidRDefault="008276AF"/>
    <w:sectPr w:rsidR="008B738B" w:rsidSect="002E1B25">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B80" w:rsidRDefault="00EB4B80" w:rsidP="006E77B3">
      <w:r>
        <w:separator/>
      </w:r>
    </w:p>
  </w:endnote>
  <w:endnote w:type="continuationSeparator" w:id="1">
    <w:p w:rsidR="00EB4B80" w:rsidRDefault="00EB4B80" w:rsidP="006E77B3">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9141"/>
      <w:docPartObj>
        <w:docPartGallery w:val="Page Numbers (Bottom of Page)"/>
        <w:docPartUnique/>
      </w:docPartObj>
    </w:sdtPr>
    <w:sdtContent>
      <w:sdt>
        <w:sdtPr>
          <w:id w:val="216747541"/>
          <w:docPartObj>
            <w:docPartGallery w:val="Page Numbers (Top of Page)"/>
            <w:docPartUnique/>
          </w:docPartObj>
        </w:sdtPr>
        <w:sdtContent>
          <w:p w:rsidR="002E1B25" w:rsidRDefault="00247E32">
            <w:pPr>
              <w:pStyle w:val="Piedepgina"/>
              <w:jc w:val="center"/>
            </w:pPr>
            <w:r>
              <w:t xml:space="preserve">Página </w:t>
            </w:r>
            <w:r w:rsidR="00EC7DD6">
              <w:rPr>
                <w:b/>
              </w:rPr>
              <w:fldChar w:fldCharType="begin"/>
            </w:r>
            <w:r>
              <w:rPr>
                <w:b/>
              </w:rPr>
              <w:instrText>PAGE</w:instrText>
            </w:r>
            <w:r w:rsidR="00EC7DD6">
              <w:rPr>
                <w:b/>
              </w:rPr>
              <w:fldChar w:fldCharType="separate"/>
            </w:r>
            <w:r w:rsidR="008276AF">
              <w:rPr>
                <w:b/>
                <w:noProof/>
              </w:rPr>
              <w:t>4</w:t>
            </w:r>
            <w:r w:rsidR="00EC7DD6">
              <w:rPr>
                <w:b/>
              </w:rPr>
              <w:fldChar w:fldCharType="end"/>
            </w:r>
            <w:r>
              <w:t xml:space="preserve"> de </w:t>
            </w:r>
            <w:r w:rsidR="00EC7DD6">
              <w:rPr>
                <w:b/>
              </w:rPr>
              <w:fldChar w:fldCharType="begin"/>
            </w:r>
            <w:r>
              <w:rPr>
                <w:b/>
              </w:rPr>
              <w:instrText>NUMPAGES</w:instrText>
            </w:r>
            <w:r w:rsidR="00EC7DD6">
              <w:rPr>
                <w:b/>
              </w:rPr>
              <w:fldChar w:fldCharType="separate"/>
            </w:r>
            <w:r w:rsidR="008276AF">
              <w:rPr>
                <w:b/>
                <w:noProof/>
              </w:rPr>
              <w:t>7</w:t>
            </w:r>
            <w:r w:rsidR="00EC7DD6">
              <w:rPr>
                <w:b/>
              </w:rPr>
              <w:fldChar w:fldCharType="end"/>
            </w:r>
          </w:p>
        </w:sdtContent>
      </w:sdt>
    </w:sdtContent>
  </w:sdt>
  <w:p w:rsidR="002E1B25" w:rsidRDefault="008276A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B80" w:rsidRDefault="00EB4B80" w:rsidP="006E77B3">
      <w:r>
        <w:separator/>
      </w:r>
    </w:p>
  </w:footnote>
  <w:footnote w:type="continuationSeparator" w:id="1">
    <w:p w:rsidR="00EB4B80" w:rsidRDefault="00EB4B80" w:rsidP="006E77B3">
      <w:r>
        <w:continuationSeparator/>
      </w:r>
    </w:p>
  </w:footnote>
  <w:footnote w:id="2">
    <w:p w:rsidR="006E77B3" w:rsidRDefault="006E77B3" w:rsidP="006E77B3">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sz w:val="16"/>
          <w:szCs w:val="16"/>
          <w:lang w:val="es-ES_tradnl"/>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lang w:val="es-ES_tradnl"/>
        </w:rPr>
        <w:t xml:space="preserve">Artículo 294.- Causales de aplicación de sanción a los proveedores, participantes, postores y contratistas. </w:t>
      </w:r>
    </w:p>
    <w:p w:rsidR="006E77B3" w:rsidRDefault="006E77B3" w:rsidP="006E77B3">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El Tribunal impondrá la sanción administrativa de inhabilitación temporal o definitiva a los proveedores, participantes, postores y/o contratistas que:</w:t>
      </w:r>
    </w:p>
    <w:p w:rsidR="006E77B3" w:rsidRDefault="006E77B3" w:rsidP="006E77B3">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w:t>
      </w:r>
    </w:p>
    <w:p w:rsidR="006E77B3" w:rsidRDefault="006E77B3" w:rsidP="006E77B3">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2) Den lugar a la resolución del contrato, orden de compra o de servicios por causal atribuible a su parte.</w:t>
      </w:r>
    </w:p>
    <w:p w:rsidR="006E77B3" w:rsidRDefault="006E77B3" w:rsidP="006E77B3">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6AF" w:rsidRDefault="008276AF" w:rsidP="008276AF">
    <w:pPr>
      <w:pStyle w:val="Encabezado"/>
      <w:jc w:val="center"/>
      <w:rPr>
        <w:rFonts w:ascii="Monotype Corsiva" w:hAnsi="Monotype Corsiva"/>
        <w:b/>
        <w:sz w:val="44"/>
        <w:szCs w:val="44"/>
      </w:rPr>
    </w:pPr>
    <w:r>
      <w:rPr>
        <w:noProof/>
      </w:rPr>
      <w:drawing>
        <wp:anchor distT="0" distB="0" distL="114300" distR="114300" simplePos="0" relativeHeight="251658240" behindDoc="0" locked="0" layoutInCell="1" allowOverlap="1">
          <wp:simplePos x="0" y="0"/>
          <wp:positionH relativeFrom="column">
            <wp:posOffset>-593725</wp:posOffset>
          </wp:positionH>
          <wp:positionV relativeFrom="paragraph">
            <wp:posOffset>-59690</wp:posOffset>
          </wp:positionV>
          <wp:extent cx="6515100" cy="58102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5100" cy="581025"/>
                  </a:xfrm>
                  <a:prstGeom prst="rect">
                    <a:avLst/>
                  </a:prstGeom>
                  <a:noFill/>
                </pic:spPr>
              </pic:pic>
            </a:graphicData>
          </a:graphic>
        </wp:anchor>
      </w:drawing>
    </w:r>
  </w:p>
  <w:p w:rsidR="008276AF" w:rsidRDefault="008276AF" w:rsidP="008276AF">
    <w:pPr>
      <w:pStyle w:val="Encabezado"/>
      <w:jc w:val="center"/>
      <w:rPr>
        <w:rFonts w:ascii="Monotype Corsiva" w:hAnsi="Monotype Corsiva"/>
        <w:b/>
        <w:sz w:val="44"/>
        <w:szCs w:val="44"/>
      </w:rPr>
    </w:pPr>
  </w:p>
  <w:p w:rsidR="008276AF" w:rsidRDefault="008276AF" w:rsidP="008276AF">
    <w:pPr>
      <w:pStyle w:val="Encabezado"/>
      <w:jc w:val="center"/>
      <w:rPr>
        <w:rFonts w:ascii="Monotype Corsiva" w:hAnsi="Monotype Corsiva"/>
        <w:b/>
        <w:sz w:val="44"/>
        <w:szCs w:val="44"/>
      </w:rPr>
    </w:pPr>
  </w:p>
  <w:p w:rsidR="008276AF" w:rsidRDefault="008276AF" w:rsidP="008276AF">
    <w:pPr>
      <w:pStyle w:val="Encabezado"/>
      <w:jc w:val="center"/>
      <w:rPr>
        <w:rFonts w:ascii="Tahoma" w:hAnsi="Tahoma" w:cs="Tahoma"/>
        <w:b/>
        <w:sz w:val="44"/>
        <w:szCs w:val="44"/>
      </w:rPr>
    </w:pPr>
    <w:r>
      <w:rPr>
        <w:rFonts w:ascii="Monotype Corsiva" w:hAnsi="Monotype Corsiva"/>
        <w:b/>
        <w:sz w:val="44"/>
        <w:szCs w:val="44"/>
      </w:rPr>
      <w:t xml:space="preserve">Resolución Nº   </w:t>
    </w:r>
    <w:r>
      <w:rPr>
        <w:rFonts w:ascii="Tahoma" w:hAnsi="Tahoma" w:cs="Tahoma"/>
        <w:b/>
        <w:sz w:val="44"/>
        <w:szCs w:val="44"/>
      </w:rPr>
      <w:t>143-2011-TC-S1</w:t>
    </w:r>
  </w:p>
  <w:p w:rsidR="008276AF" w:rsidRDefault="008276A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1104B16"/>
    <w:multiLevelType w:val="hybridMultilevel"/>
    <w:tmpl w:val="AB4C0CE0"/>
    <w:lvl w:ilvl="0" w:tplc="41802B04">
      <w:start w:val="1"/>
      <w:numFmt w:val="decimal"/>
      <w:lvlText w:val="%1."/>
      <w:lvlJc w:val="left"/>
      <w:pPr>
        <w:tabs>
          <w:tab w:val="num" w:pos="1440"/>
        </w:tabs>
        <w:ind w:left="1440" w:hanging="360"/>
      </w:pPr>
      <w:rPr>
        <w:rFonts w:ascii="Tahoma" w:hAnsi="Tahoma"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68C0B2E"/>
    <w:multiLevelType w:val="hybridMultilevel"/>
    <w:tmpl w:val="100E46B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424E652C"/>
    <w:multiLevelType w:val="hybridMultilevel"/>
    <w:tmpl w:val="4D120D8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ABB771F"/>
    <w:multiLevelType w:val="hybridMultilevel"/>
    <w:tmpl w:val="5016BBB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num w:numId="1">
    <w:abstractNumId w:val="5"/>
  </w:num>
  <w:num w:numId="2">
    <w:abstractNumId w:val="0"/>
  </w:num>
  <w:num w:numId="3">
    <w:abstractNumId w:val="3"/>
  </w:num>
  <w:num w:numId="4">
    <w:abstractNumId w:val="1"/>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E77B3"/>
    <w:rsid w:val="001D03E5"/>
    <w:rsid w:val="00247E32"/>
    <w:rsid w:val="00271F93"/>
    <w:rsid w:val="004305A4"/>
    <w:rsid w:val="00457664"/>
    <w:rsid w:val="005F0E2E"/>
    <w:rsid w:val="006E77B3"/>
    <w:rsid w:val="008276AF"/>
    <w:rsid w:val="009042C5"/>
    <w:rsid w:val="00EB4B80"/>
    <w:rsid w:val="00EC7DD6"/>
    <w:rsid w:val="00FD7C8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7B3"/>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6E77B3"/>
    <w:pPr>
      <w:spacing w:after="120"/>
    </w:pPr>
    <w:rPr>
      <w:sz w:val="16"/>
      <w:szCs w:val="16"/>
      <w:lang w:val="es-PE"/>
    </w:rPr>
  </w:style>
  <w:style w:type="character" w:customStyle="1" w:styleId="Textoindependiente3Car">
    <w:name w:val="Texto independiente 3 Car"/>
    <w:basedOn w:val="Fuentedeprrafopredeter"/>
    <w:link w:val="Textoindependiente3"/>
    <w:rsid w:val="006E77B3"/>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6E77B3"/>
    <w:pPr>
      <w:jc w:val="both"/>
    </w:pPr>
    <w:rPr>
      <w:rFonts w:ascii="Tahoma" w:hAnsi="Tahoma"/>
      <w:sz w:val="22"/>
      <w:szCs w:val="20"/>
    </w:rPr>
  </w:style>
  <w:style w:type="paragraph" w:styleId="Prrafodelista">
    <w:name w:val="List Paragraph"/>
    <w:basedOn w:val="Normal"/>
    <w:uiPriority w:val="34"/>
    <w:qFormat/>
    <w:rsid w:val="006E77B3"/>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Texto independiente2"/>
    <w:basedOn w:val="Normal"/>
    <w:link w:val="TextonotapieCar"/>
    <w:rsid w:val="006E77B3"/>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Texto independiente2 Car"/>
    <w:basedOn w:val="Fuentedeprrafopredeter"/>
    <w:link w:val="Textonotapie"/>
    <w:rsid w:val="006E77B3"/>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6E77B3"/>
    <w:pPr>
      <w:tabs>
        <w:tab w:val="center" w:pos="4252"/>
        <w:tab w:val="right" w:pos="8504"/>
      </w:tabs>
    </w:pPr>
  </w:style>
  <w:style w:type="character" w:customStyle="1" w:styleId="PiedepginaCar">
    <w:name w:val="Pie de página Car"/>
    <w:basedOn w:val="Fuentedeprrafopredeter"/>
    <w:link w:val="Piedepgina"/>
    <w:uiPriority w:val="99"/>
    <w:rsid w:val="006E77B3"/>
    <w:rPr>
      <w:rFonts w:ascii="Times New Roman" w:eastAsia="Times New Roman" w:hAnsi="Times New Roman" w:cs="Times New Roman"/>
      <w:sz w:val="24"/>
      <w:szCs w:val="24"/>
      <w:lang w:eastAsia="es-ES"/>
    </w:rPr>
  </w:style>
  <w:style w:type="character" w:styleId="Refdenotaalpie">
    <w:name w:val="footnote reference"/>
    <w:basedOn w:val="Fuentedeprrafopredeter"/>
    <w:rsid w:val="006E77B3"/>
    <w:rPr>
      <w:rFonts w:cs="Times New Roman"/>
      <w:vertAlign w:val="superscript"/>
    </w:rPr>
  </w:style>
  <w:style w:type="paragraph" w:styleId="Sangradetextonormal">
    <w:name w:val="Body Text Indent"/>
    <w:basedOn w:val="Normal"/>
    <w:link w:val="SangradetextonormalCar"/>
    <w:uiPriority w:val="99"/>
    <w:semiHidden/>
    <w:unhideWhenUsed/>
    <w:rsid w:val="006E77B3"/>
    <w:pPr>
      <w:spacing w:after="120"/>
      <w:ind w:left="283"/>
    </w:pPr>
  </w:style>
  <w:style w:type="character" w:customStyle="1" w:styleId="SangradetextonormalCar">
    <w:name w:val="Sangría de texto normal Car"/>
    <w:basedOn w:val="Fuentedeprrafopredeter"/>
    <w:link w:val="Sangradetextonormal"/>
    <w:uiPriority w:val="99"/>
    <w:semiHidden/>
    <w:rsid w:val="006E77B3"/>
    <w:rPr>
      <w:rFonts w:ascii="Times New Roman" w:eastAsia="Times New Roman" w:hAnsi="Times New Roman" w:cs="Times New Roman"/>
      <w:sz w:val="24"/>
      <w:szCs w:val="24"/>
      <w:lang w:eastAsia="es-ES"/>
    </w:rPr>
  </w:style>
  <w:style w:type="paragraph" w:styleId="Ttulo">
    <w:name w:val="Title"/>
    <w:basedOn w:val="Normal"/>
    <w:next w:val="Normal"/>
    <w:link w:val="TtuloCar"/>
    <w:uiPriority w:val="10"/>
    <w:qFormat/>
    <w:rsid w:val="00271F93"/>
    <w:pPr>
      <w:suppressAutoHyphens/>
      <w:spacing w:before="240" w:after="60"/>
      <w:jc w:val="center"/>
      <w:outlineLvl w:val="0"/>
    </w:pPr>
    <w:rPr>
      <w:rFonts w:ascii="Cambria" w:hAnsi="Cambria"/>
      <w:b/>
      <w:bCs/>
      <w:kern w:val="28"/>
      <w:sz w:val="32"/>
      <w:szCs w:val="32"/>
      <w:lang w:val="es-ES_tradnl" w:eastAsia="es-PE"/>
    </w:rPr>
  </w:style>
  <w:style w:type="character" w:customStyle="1" w:styleId="TtuloCar">
    <w:name w:val="Título Car"/>
    <w:basedOn w:val="Fuentedeprrafopredeter"/>
    <w:link w:val="Ttulo"/>
    <w:uiPriority w:val="10"/>
    <w:rsid w:val="00271F93"/>
    <w:rPr>
      <w:rFonts w:ascii="Cambria" w:eastAsia="Times New Roman" w:hAnsi="Cambria" w:cs="Times New Roman"/>
      <w:b/>
      <w:bCs/>
      <w:kern w:val="28"/>
      <w:sz w:val="32"/>
      <w:szCs w:val="32"/>
      <w:lang w:val="es-ES_tradnl" w:eastAsia="es-PE"/>
    </w:rPr>
  </w:style>
  <w:style w:type="paragraph" w:styleId="Encabezado">
    <w:name w:val="header"/>
    <w:aliases w:val="encabezado,Encabezado Car Car Car Car,Encabezado Car Car,maria,Encabezado1,h"/>
    <w:basedOn w:val="Normal"/>
    <w:link w:val="EncabezadoCar"/>
    <w:semiHidden/>
    <w:unhideWhenUsed/>
    <w:rsid w:val="008276AF"/>
    <w:pPr>
      <w:tabs>
        <w:tab w:val="center" w:pos="4252"/>
        <w:tab w:val="right" w:pos="8504"/>
      </w:tabs>
    </w:pPr>
  </w:style>
  <w:style w:type="character" w:customStyle="1" w:styleId="EncabezadoCar">
    <w:name w:val="Encabezado Car"/>
    <w:aliases w:val="encabezado Car,Encabezado Car Car Car Car Car,Encabezado Car Car Car,maria Car,Encabezado1 Car,h Car"/>
    <w:basedOn w:val="Fuentedeprrafopredeter"/>
    <w:link w:val="Encabezado"/>
    <w:semiHidden/>
    <w:rsid w:val="008276AF"/>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539470052">
      <w:bodyDiv w:val="1"/>
      <w:marLeft w:val="0"/>
      <w:marRight w:val="0"/>
      <w:marTop w:val="0"/>
      <w:marBottom w:val="0"/>
      <w:divBdr>
        <w:top w:val="none" w:sz="0" w:space="0" w:color="auto"/>
        <w:left w:val="none" w:sz="0" w:space="0" w:color="auto"/>
        <w:bottom w:val="none" w:sz="0" w:space="0" w:color="auto"/>
        <w:right w:val="none" w:sz="0" w:space="0" w:color="auto"/>
      </w:divBdr>
    </w:div>
    <w:div w:id="212095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2201</Words>
  <Characters>12108</Characters>
  <Application>Microsoft Office Word</Application>
  <DocSecurity>0</DocSecurity>
  <Lines>100</Lines>
  <Paragraphs>28</Paragraphs>
  <ScaleCrop>false</ScaleCrop>
  <Company/>
  <LinksUpToDate>false</LinksUpToDate>
  <CharactersWithSpaces>14281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2011-01-31T15:50:00Z</cp:lastPrinted>
  <dcterms:created xsi:type="dcterms:W3CDTF">2011-01-31T15:46:00Z</dcterms:created>
  <dcterms:modified xsi:type="dcterms:W3CDTF">2011-02-08T15:51:00Z</dcterms:modified>
</cp:coreProperties>
</file>